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仿宋_GB2312" w:asciiTheme="minorEastAsia" w:hAnsiTheme="minorEastAsia"/>
          <w:sz w:val="44"/>
          <w:szCs w:val="44"/>
        </w:rPr>
      </w:pPr>
      <w:r>
        <w:rPr>
          <w:rFonts w:hint="eastAsia" w:cs="仿宋_GB2312" w:asciiTheme="minorEastAsia" w:hAnsiTheme="minorEastAsia"/>
          <w:sz w:val="44"/>
          <w:szCs w:val="44"/>
        </w:rPr>
        <w:t>环保培训教育记录</w:t>
      </w:r>
    </w:p>
    <w:tbl>
      <w:tblPr>
        <w:tblStyle w:val="9"/>
        <w:tblW w:w="9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vAlign w:val="center"/>
          </w:tcPr>
          <w:p>
            <w:pPr>
              <w:jc w:val="center"/>
              <w:rPr>
                <w:rFonts w:cs="仿宋_GB2312" w:asciiTheme="minorEastAsia" w:hAnsiTheme="minorEastAsia"/>
                <w:sz w:val="24"/>
              </w:rPr>
            </w:pPr>
            <w:r>
              <w:rPr>
                <w:rFonts w:hint="eastAsia" w:cs="仿宋_GB2312" w:asciiTheme="minorEastAsia" w:hAnsiTheme="minorEastAsia"/>
                <w:sz w:val="24"/>
              </w:rPr>
              <w:t>培训时间</w:t>
            </w:r>
          </w:p>
        </w:tc>
        <w:tc>
          <w:tcPr>
            <w:tcW w:w="1420" w:type="dxa"/>
            <w:vAlign w:val="center"/>
          </w:tcPr>
          <w:p>
            <w:pPr>
              <w:jc w:val="center"/>
              <w:rPr>
                <w:rFonts w:hint="default" w:cs="仿宋_GB2312" w:asciiTheme="minorEastAsia" w:hAnsiTheme="minorEastAsia" w:eastAsiaTheme="minorEastAsia"/>
                <w:sz w:val="24"/>
                <w:lang w:val="en-US" w:eastAsia="zh-CN"/>
              </w:rPr>
            </w:pPr>
            <w:r>
              <w:rPr>
                <w:rFonts w:hint="eastAsia" w:cs="仿宋_GB2312" w:asciiTheme="minorEastAsia" w:hAnsiTheme="minorEastAsia"/>
                <w:sz w:val="24"/>
              </w:rPr>
              <w:t>202</w:t>
            </w:r>
            <w:r>
              <w:rPr>
                <w:rFonts w:hint="eastAsia" w:cs="仿宋_GB2312" w:asciiTheme="minorEastAsia" w:hAnsiTheme="minorEastAsia"/>
                <w:sz w:val="24"/>
                <w:lang w:val="en-US" w:eastAsia="zh-CN"/>
              </w:rPr>
              <w:t>3</w:t>
            </w:r>
            <w:r>
              <w:rPr>
                <w:rFonts w:hint="eastAsia" w:cs="仿宋_GB2312" w:asciiTheme="minorEastAsia" w:hAnsiTheme="minorEastAsia"/>
                <w:sz w:val="24"/>
              </w:rPr>
              <w:t>．</w:t>
            </w:r>
            <w:r>
              <w:rPr>
                <w:rFonts w:hint="eastAsia" w:cs="仿宋_GB2312" w:asciiTheme="minorEastAsia" w:hAnsiTheme="minorEastAsia"/>
                <w:sz w:val="24"/>
                <w:lang w:val="en-US" w:eastAsia="zh-CN"/>
              </w:rPr>
              <w:t>7</w:t>
            </w:r>
            <w:r>
              <w:rPr>
                <w:rFonts w:hint="eastAsia" w:cs="仿宋_GB2312" w:asciiTheme="minorEastAsia" w:hAnsiTheme="minorEastAsia"/>
                <w:sz w:val="24"/>
              </w:rPr>
              <w:t>.</w:t>
            </w:r>
            <w:r>
              <w:rPr>
                <w:rFonts w:hint="eastAsia" w:cs="仿宋_GB2312" w:asciiTheme="minorEastAsia" w:hAnsiTheme="minorEastAsia"/>
                <w:sz w:val="24"/>
                <w:lang w:val="en-US" w:eastAsia="zh-CN"/>
              </w:rPr>
              <w:t>31</w:t>
            </w:r>
          </w:p>
        </w:tc>
        <w:tc>
          <w:tcPr>
            <w:tcW w:w="1420" w:type="dxa"/>
            <w:vAlign w:val="center"/>
          </w:tcPr>
          <w:p>
            <w:pPr>
              <w:jc w:val="center"/>
              <w:rPr>
                <w:rFonts w:cs="仿宋_GB2312" w:asciiTheme="minorEastAsia" w:hAnsiTheme="minorEastAsia"/>
                <w:sz w:val="24"/>
              </w:rPr>
            </w:pPr>
            <w:r>
              <w:rPr>
                <w:rFonts w:hint="eastAsia" w:cs="仿宋_GB2312" w:asciiTheme="minorEastAsia" w:hAnsiTheme="minorEastAsia"/>
                <w:sz w:val="24"/>
              </w:rPr>
              <w:t>培训地点</w:t>
            </w:r>
          </w:p>
        </w:tc>
        <w:tc>
          <w:tcPr>
            <w:tcW w:w="1420" w:type="dxa"/>
            <w:vAlign w:val="center"/>
          </w:tcPr>
          <w:p>
            <w:pPr>
              <w:jc w:val="center"/>
              <w:rPr>
                <w:rFonts w:cs="仿宋_GB2312" w:asciiTheme="minorEastAsia" w:hAnsiTheme="minorEastAsia"/>
                <w:sz w:val="24"/>
              </w:rPr>
            </w:pPr>
            <w:r>
              <w:rPr>
                <w:rFonts w:hint="eastAsia" w:cs="仿宋_GB2312" w:asciiTheme="minorEastAsia" w:hAnsiTheme="minorEastAsia"/>
                <w:sz w:val="24"/>
              </w:rPr>
              <w:t>4楼会议室</w:t>
            </w:r>
          </w:p>
        </w:tc>
        <w:tc>
          <w:tcPr>
            <w:tcW w:w="1421" w:type="dxa"/>
            <w:vAlign w:val="center"/>
          </w:tcPr>
          <w:p>
            <w:pPr>
              <w:jc w:val="center"/>
              <w:rPr>
                <w:rFonts w:cs="仿宋_GB2312" w:asciiTheme="minorEastAsia" w:hAnsiTheme="minorEastAsia"/>
                <w:sz w:val="24"/>
              </w:rPr>
            </w:pPr>
            <w:r>
              <w:rPr>
                <w:rFonts w:hint="eastAsia" w:cs="仿宋_GB2312" w:asciiTheme="minorEastAsia" w:hAnsiTheme="minorEastAsia"/>
                <w:sz w:val="24"/>
              </w:rPr>
              <w:t>培训讲师</w:t>
            </w:r>
          </w:p>
        </w:tc>
        <w:tc>
          <w:tcPr>
            <w:tcW w:w="2698" w:type="dxa"/>
            <w:vAlign w:val="center"/>
          </w:tcPr>
          <w:p>
            <w:pPr>
              <w:jc w:val="center"/>
              <w:rPr>
                <w:rFonts w:cs="仿宋_GB2312" w:asciiTheme="minorEastAsia" w:hAnsiTheme="minorEastAsia"/>
                <w:sz w:val="24"/>
              </w:rPr>
            </w:pPr>
            <w:r>
              <w:rPr>
                <w:rFonts w:hint="eastAsia" w:cs="仿宋_GB2312" w:asciiTheme="minorEastAsia" w:hAnsiTheme="minorEastAsia"/>
                <w:sz w:val="24"/>
              </w:rPr>
              <w:t>韩世强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vAlign w:val="center"/>
          </w:tcPr>
          <w:p>
            <w:pPr>
              <w:jc w:val="center"/>
              <w:rPr>
                <w:rFonts w:cs="仿宋_GB2312" w:asciiTheme="minorEastAsia" w:hAnsiTheme="minorEastAsia"/>
                <w:sz w:val="24"/>
              </w:rPr>
            </w:pPr>
            <w:r>
              <w:rPr>
                <w:rFonts w:hint="eastAsia" w:cs="仿宋_GB2312" w:asciiTheme="minorEastAsia" w:hAnsiTheme="minorEastAsia"/>
                <w:sz w:val="24"/>
              </w:rPr>
              <w:t>培训内容</w:t>
            </w:r>
          </w:p>
        </w:tc>
        <w:tc>
          <w:tcPr>
            <w:tcW w:w="4260" w:type="dxa"/>
            <w:gridSpan w:val="3"/>
            <w:vAlign w:val="center"/>
          </w:tcPr>
          <w:p>
            <w:pPr>
              <w:jc w:val="center"/>
              <w:rPr>
                <w:rFonts w:cs="仿宋_GB2312" w:asciiTheme="minorEastAsia" w:hAnsiTheme="minorEastAsia"/>
                <w:sz w:val="24"/>
              </w:rPr>
            </w:pPr>
            <w:r>
              <w:rPr>
                <w:b w:val="0"/>
                <w:bCs w:val="0"/>
              </w:rPr>
              <w:t>环境风险识别</w:t>
            </w:r>
            <w:r>
              <w:rPr>
                <w:rFonts w:hint="eastAsia" w:cs="仿宋_GB2312" w:asciiTheme="minorEastAsia" w:hAnsiTheme="minorEastAsia"/>
                <w:b w:val="0"/>
                <w:bCs w:val="0"/>
                <w:sz w:val="24"/>
              </w:rPr>
              <w:t>和</w:t>
            </w:r>
            <w:bookmarkStart w:id="0" w:name="_Toc465191002"/>
            <w:bookmarkStart w:id="1" w:name="_Toc438712931"/>
            <w:bookmarkStart w:id="2" w:name="_Toc282852626"/>
            <w:r>
              <w:rPr>
                <w:rFonts w:ascii="Times New Roman" w:hAnsi="Times New Roman"/>
                <w:b w:val="0"/>
                <w:bCs w:val="0"/>
                <w:color w:val="auto"/>
                <w:szCs w:val="24"/>
              </w:rPr>
              <w:t>环境风险防范措施</w:t>
            </w:r>
            <w:bookmarkEnd w:id="0"/>
            <w:bookmarkEnd w:id="1"/>
            <w:bookmarkEnd w:id="2"/>
            <w:r>
              <w:rPr>
                <w:rFonts w:hint="eastAsia" w:cs="仿宋_GB2312" w:asciiTheme="minorEastAsia" w:hAnsiTheme="minorEastAsia"/>
                <w:sz w:val="24"/>
              </w:rPr>
              <w:t>的培训</w:t>
            </w:r>
          </w:p>
        </w:tc>
        <w:tc>
          <w:tcPr>
            <w:tcW w:w="1421" w:type="dxa"/>
            <w:vAlign w:val="center"/>
          </w:tcPr>
          <w:p>
            <w:pPr>
              <w:jc w:val="center"/>
              <w:rPr>
                <w:rFonts w:cs="仿宋_GB2312" w:asciiTheme="minorEastAsia" w:hAnsiTheme="minorEastAsia"/>
                <w:sz w:val="24"/>
              </w:rPr>
            </w:pPr>
            <w:r>
              <w:rPr>
                <w:rFonts w:hint="eastAsia" w:cs="仿宋_GB2312" w:asciiTheme="minorEastAsia" w:hAnsiTheme="minorEastAsia"/>
                <w:sz w:val="24"/>
              </w:rPr>
              <w:t>培训方式</w:t>
            </w:r>
          </w:p>
        </w:tc>
        <w:tc>
          <w:tcPr>
            <w:tcW w:w="2698" w:type="dxa"/>
            <w:vAlign w:val="center"/>
          </w:tcPr>
          <w:p>
            <w:pPr>
              <w:jc w:val="center"/>
              <w:rPr>
                <w:rFonts w:cs="仿宋_GB2312" w:asciiTheme="minorEastAsia" w:hAnsiTheme="minorEastAsia"/>
                <w:sz w:val="24"/>
              </w:rPr>
            </w:pPr>
            <w:r>
              <w:rPr>
                <w:rFonts w:hint="eastAsia" w:cs="仿宋_GB2312" w:asciiTheme="minorEastAsia" w:hAnsiTheme="minorEastAsia"/>
                <w:sz w:val="24"/>
              </w:rPr>
              <w:t>集中讲课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0" w:type="dxa"/>
            <w:vAlign w:val="center"/>
          </w:tcPr>
          <w:p>
            <w:pPr>
              <w:jc w:val="center"/>
              <w:rPr>
                <w:rFonts w:cs="仿宋_GB2312" w:asciiTheme="minorEastAsia" w:hAnsiTheme="minorEastAsia"/>
                <w:sz w:val="24"/>
              </w:rPr>
            </w:pPr>
            <w:r>
              <w:rPr>
                <w:rFonts w:hint="eastAsia" w:cs="仿宋_GB2312" w:asciiTheme="minorEastAsia" w:hAnsiTheme="minorEastAsia"/>
                <w:sz w:val="24"/>
              </w:rPr>
              <w:t>培训学时</w:t>
            </w:r>
          </w:p>
        </w:tc>
        <w:tc>
          <w:tcPr>
            <w:tcW w:w="8379" w:type="dxa"/>
            <w:gridSpan w:val="5"/>
            <w:vAlign w:val="center"/>
          </w:tcPr>
          <w:p>
            <w:pPr>
              <w:jc w:val="center"/>
              <w:rPr>
                <w:rFonts w:cs="仿宋_GB2312" w:asciiTheme="minorEastAsia" w:hAnsiTheme="minorEastAsia"/>
                <w:sz w:val="24"/>
              </w:rPr>
            </w:pPr>
            <w:r>
              <w:rPr>
                <w:rFonts w:hint="eastAsia" w:cs="仿宋_GB2312" w:asciiTheme="minorEastAsia" w:hAnsiTheme="minorEastAsia"/>
                <w:sz w:val="24"/>
                <w:lang w:val="en-US" w:eastAsia="zh-CN"/>
              </w:rPr>
              <w:t>2</w:t>
            </w:r>
            <w:r>
              <w:rPr>
                <w:rFonts w:hint="eastAsia" w:cs="仿宋_GB2312" w:asciiTheme="minorEastAsia" w:hAnsiTheme="minorEastAsia"/>
                <w:sz w:val="24"/>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9" w:type="dxa"/>
            <w:gridSpan w:val="6"/>
            <w:vAlign w:val="center"/>
          </w:tcPr>
          <w:p>
            <w:pPr>
              <w:jc w:val="left"/>
              <w:rPr>
                <w:rFonts w:cs="仿宋_GB2312" w:asciiTheme="minorEastAsia" w:hAnsiTheme="minorEastAsia"/>
                <w:sz w:val="24"/>
              </w:rPr>
            </w:pPr>
            <w:r>
              <w:rPr>
                <w:rFonts w:hint="eastAsia" w:cs="仿宋_GB2312" w:asciiTheme="minorEastAsia" w:hAnsiTheme="minorEastAsia"/>
                <w:sz w:val="24"/>
              </w:rPr>
              <w:t xml:space="preserve">参加培训人员（共 </w:t>
            </w:r>
            <w:r>
              <w:rPr>
                <w:rFonts w:hint="eastAsia" w:cs="仿宋_GB2312" w:asciiTheme="minorEastAsia" w:hAnsiTheme="minorEastAsia"/>
                <w:sz w:val="24"/>
                <w:lang w:val="en-US" w:eastAsia="zh-CN"/>
              </w:rPr>
              <w:t>68</w:t>
            </w:r>
            <w:r>
              <w:rPr>
                <w:rFonts w:hint="eastAsia" w:cs="仿宋_GB2312" w:asciiTheme="minorEastAsia" w:hAnsiTheme="minorEastAsia"/>
                <w:sz w:val="24"/>
              </w:rPr>
              <w:t>人，见签到表）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3" w:hRule="atLeast"/>
        </w:trPr>
        <w:tc>
          <w:tcPr>
            <w:tcW w:w="9799" w:type="dxa"/>
            <w:gridSpan w:val="6"/>
          </w:tcPr>
          <w:p>
            <w:pPr>
              <w:spacing w:line="240" w:lineRule="auto"/>
              <w:rPr>
                <w:rFonts w:hint="eastAsia" w:ascii="宋体" w:hAnsi="宋体" w:eastAsia="宋体" w:cs="宋体"/>
                <w:sz w:val="21"/>
                <w:szCs w:val="21"/>
              </w:rPr>
            </w:pPr>
            <w:r>
              <w:rPr>
                <w:rFonts w:hint="eastAsia" w:ascii="宋体" w:hAnsi="宋体" w:eastAsia="宋体" w:cs="宋体"/>
                <w:sz w:val="21"/>
                <w:szCs w:val="21"/>
              </w:rPr>
              <w:t>培训主要内容：</w:t>
            </w:r>
          </w:p>
          <w:p>
            <w:pPr>
              <w:spacing w:line="240" w:lineRule="auto"/>
              <w:rPr>
                <w:rFonts w:hint="eastAsia" w:ascii="宋体" w:hAnsi="宋体" w:eastAsia="宋体" w:cs="宋体"/>
                <w:sz w:val="21"/>
                <w:szCs w:val="21"/>
              </w:rPr>
            </w:pPr>
            <w:r>
              <w:rPr>
                <w:rFonts w:hint="eastAsia" w:ascii="宋体" w:hAnsi="宋体" w:eastAsia="宋体" w:cs="宋体"/>
                <w:b/>
                <w:bCs/>
                <w:sz w:val="21"/>
                <w:szCs w:val="21"/>
                <w:lang w:val="en-US" w:eastAsia="zh-CN"/>
              </w:rPr>
              <w:t>一</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备案：</w:t>
            </w:r>
            <w:r>
              <w:rPr>
                <w:rFonts w:hint="eastAsia" w:ascii="宋体" w:hAnsi="宋体" w:eastAsia="宋体" w:cs="宋体"/>
                <w:sz w:val="21"/>
                <w:szCs w:val="21"/>
              </w:rPr>
              <w:t>本公司突发环境事件应急预案具体内容，我公司突发环境应急预案于20</w:t>
            </w:r>
            <w:r>
              <w:rPr>
                <w:rFonts w:hint="eastAsia" w:ascii="宋体" w:hAnsi="宋体" w:eastAsia="宋体" w:cs="宋体"/>
                <w:sz w:val="21"/>
                <w:szCs w:val="21"/>
                <w:lang w:val="en-US" w:eastAsia="zh-CN"/>
              </w:rPr>
              <w:t>22</w:t>
            </w:r>
            <w:r>
              <w:rPr>
                <w:rFonts w:hint="eastAsia" w:ascii="宋体" w:hAnsi="宋体" w:eastAsia="宋体" w:cs="宋体"/>
                <w:sz w:val="21"/>
                <w:szCs w:val="21"/>
              </w:rPr>
              <w:t>年1月2</w:t>
            </w:r>
            <w:r>
              <w:rPr>
                <w:rFonts w:hint="eastAsia" w:ascii="宋体" w:hAnsi="宋体" w:eastAsia="宋体" w:cs="宋体"/>
                <w:sz w:val="21"/>
                <w:szCs w:val="21"/>
                <w:lang w:val="en-US" w:eastAsia="zh-CN"/>
              </w:rPr>
              <w:t>1</w:t>
            </w:r>
            <w:r>
              <w:rPr>
                <w:rFonts w:hint="eastAsia" w:ascii="宋体" w:hAnsi="宋体" w:eastAsia="宋体" w:cs="宋体"/>
                <w:sz w:val="21"/>
                <w:szCs w:val="21"/>
              </w:rPr>
              <w:t>日在贾汪区环境保护局已备案，备案号：320305-20</w:t>
            </w:r>
            <w:r>
              <w:rPr>
                <w:rFonts w:hint="eastAsia" w:ascii="宋体" w:hAnsi="宋体" w:eastAsia="宋体" w:cs="宋体"/>
                <w:sz w:val="21"/>
                <w:szCs w:val="21"/>
                <w:lang w:val="en-US" w:eastAsia="zh-CN"/>
              </w:rPr>
              <w:t>22</w:t>
            </w:r>
            <w:r>
              <w:rPr>
                <w:rFonts w:hint="eastAsia" w:ascii="宋体" w:hAnsi="宋体" w:eastAsia="宋体" w:cs="宋体"/>
                <w:sz w:val="21"/>
                <w:szCs w:val="21"/>
              </w:rPr>
              <w:t>-</w:t>
            </w:r>
            <w:r>
              <w:rPr>
                <w:rFonts w:hint="eastAsia" w:ascii="宋体" w:hAnsi="宋体" w:eastAsia="宋体" w:cs="宋体"/>
                <w:sz w:val="21"/>
                <w:szCs w:val="21"/>
                <w:lang w:val="en-US" w:eastAsia="zh-CN"/>
              </w:rPr>
              <w:t>011</w:t>
            </w:r>
            <w:r>
              <w:rPr>
                <w:rFonts w:hint="eastAsia" w:ascii="宋体" w:hAnsi="宋体" w:eastAsia="宋体" w:cs="宋体"/>
                <w:sz w:val="21"/>
                <w:szCs w:val="21"/>
              </w:rPr>
              <w:t>H</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重大）</w:t>
            </w:r>
            <w:r>
              <w:rPr>
                <w:rFonts w:hint="eastAsia" w:ascii="宋体" w:hAnsi="宋体" w:eastAsia="宋体" w:cs="宋体"/>
                <w:sz w:val="21"/>
                <w:szCs w:val="21"/>
              </w:rPr>
              <w:t>。</w:t>
            </w:r>
          </w:p>
          <w:p>
            <w:pPr>
              <w:numPr>
                <w:ilvl w:val="0"/>
                <w:numId w:val="0"/>
              </w:numPr>
              <w:spacing w:before="120" w:beforeLines="50" w:after="120" w:afterLines="50" w:line="240" w:lineRule="auto"/>
              <w:jc w:val="left"/>
              <w:outlineLvl w:val="1"/>
              <w:rPr>
                <w:rFonts w:hint="eastAsia" w:ascii="宋体" w:hAnsi="宋体" w:eastAsia="宋体" w:cs="宋体"/>
                <w:sz w:val="21"/>
                <w:szCs w:val="21"/>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环境风险识别</w:t>
            </w:r>
            <w:bookmarkStart w:id="3" w:name="_Toc465190991"/>
            <w:bookmarkStart w:id="4" w:name="_Toc441768249"/>
            <w:r>
              <w:rPr>
                <w:rFonts w:hint="eastAsia" w:ascii="宋体" w:hAnsi="宋体" w:eastAsia="宋体" w:cs="宋体"/>
                <w:b/>
                <w:bCs/>
                <w:sz w:val="21"/>
                <w:szCs w:val="21"/>
                <w:lang w:val="en-US" w:eastAsia="zh-CN"/>
              </w:rPr>
              <w:t xml:space="preserve">   </w:t>
            </w:r>
            <w:r>
              <w:rPr>
                <w:rFonts w:hint="eastAsia" w:ascii="宋体" w:hAnsi="宋体" w:eastAsia="宋体" w:cs="宋体"/>
                <w:sz w:val="21"/>
                <w:szCs w:val="21"/>
                <w:lang w:val="en-US" w:eastAsia="zh-CN"/>
              </w:rPr>
              <w:t xml:space="preserve">                                                                        1</w:t>
            </w:r>
            <w:r>
              <w:rPr>
                <w:rFonts w:hint="eastAsia" w:ascii="宋体" w:hAnsi="宋体" w:eastAsia="宋体" w:cs="宋体"/>
                <w:sz w:val="21"/>
                <w:szCs w:val="21"/>
                <w:lang w:eastAsia="zh-CN"/>
              </w:rPr>
              <w:t>、</w:t>
            </w:r>
            <w:r>
              <w:rPr>
                <w:rFonts w:hint="eastAsia" w:ascii="宋体" w:hAnsi="宋体" w:eastAsia="宋体" w:cs="宋体"/>
                <w:sz w:val="21"/>
                <w:szCs w:val="21"/>
              </w:rPr>
              <w:t>物质危险性识别</w:t>
            </w:r>
            <w:bookmarkEnd w:id="3"/>
            <w:bookmarkEnd w:id="4"/>
            <w:bookmarkStart w:id="5" w:name="_Toc441768250"/>
            <w:bookmarkStart w:id="6" w:name="_Toc465190992"/>
            <w:r>
              <w:rPr>
                <w:rFonts w:hint="eastAsia" w:ascii="宋体" w:hAnsi="宋体" w:eastAsia="宋体" w:cs="宋体"/>
                <w:sz w:val="21"/>
                <w:szCs w:val="21"/>
                <w:lang w:eastAsia="zh-CN"/>
              </w:rPr>
              <w:t>：主要包括黄磷、</w:t>
            </w:r>
            <w:r>
              <w:rPr>
                <w:rFonts w:hint="eastAsia" w:ascii="宋体" w:hAnsi="宋体" w:eastAsia="宋体" w:cs="宋体"/>
                <w:sz w:val="21"/>
                <w:szCs w:val="21"/>
                <w:lang w:val="en-US" w:eastAsia="zh-CN"/>
              </w:rPr>
              <w:t>液</w:t>
            </w:r>
            <w:r>
              <w:rPr>
                <w:rFonts w:hint="eastAsia" w:ascii="宋体" w:hAnsi="宋体" w:eastAsia="宋体" w:cs="宋体"/>
                <w:sz w:val="21"/>
                <w:szCs w:val="21"/>
                <w:lang w:eastAsia="zh-CN"/>
              </w:rPr>
              <w:t>氯、三氯化磷、三氯氧磷、五氯化磷、</w:t>
            </w:r>
            <w:r>
              <w:rPr>
                <w:rFonts w:hint="eastAsia" w:ascii="宋体" w:hAnsi="宋体" w:eastAsia="宋体" w:cs="宋体"/>
                <w:sz w:val="21"/>
                <w:szCs w:val="21"/>
                <w:lang w:val="en-US" w:eastAsia="zh-CN"/>
              </w:rPr>
              <w:t>盐酸</w:t>
            </w:r>
            <w:r>
              <w:rPr>
                <w:rFonts w:hint="eastAsia" w:ascii="宋体" w:hAnsi="宋体" w:eastAsia="宋体" w:cs="宋体"/>
                <w:sz w:val="21"/>
                <w:szCs w:val="21"/>
                <w:lang w:eastAsia="zh-CN"/>
              </w:rPr>
              <w:t>。</w:t>
            </w:r>
          </w:p>
          <w:p>
            <w:pPr>
              <w:widowControl/>
              <w:autoSpaceDE w:val="0"/>
              <w:autoSpaceDN w:val="0"/>
              <w:adjustRightInd w:val="0"/>
              <w:snapToGrid w:val="0"/>
              <w:spacing w:line="240" w:lineRule="auto"/>
              <w:ind w:firstLine="210" w:firstLineChars="100"/>
              <w:rPr>
                <w:rFonts w:hint="eastAsia" w:ascii="宋体" w:hAnsi="宋体" w:eastAsia="宋体" w:cs="宋体"/>
                <w:bCs/>
                <w:kern w:val="0"/>
                <w:sz w:val="21"/>
                <w:szCs w:val="21"/>
              </w:rPr>
            </w:pPr>
            <w:r>
              <w:rPr>
                <w:rFonts w:hint="eastAsia" w:ascii="宋体" w:hAnsi="宋体" w:eastAsia="宋体" w:cs="宋体"/>
                <w:bCs/>
                <w:kern w:val="0"/>
                <w:sz w:val="21"/>
                <w:szCs w:val="21"/>
              </w:rPr>
              <w:t>依据《石油化工企业设计防火规范》（GB50160-20</w:t>
            </w:r>
            <w:r>
              <w:rPr>
                <w:rFonts w:hint="eastAsia" w:ascii="宋体" w:hAnsi="宋体" w:eastAsia="宋体" w:cs="宋体"/>
                <w:bCs/>
                <w:kern w:val="0"/>
                <w:sz w:val="21"/>
                <w:szCs w:val="21"/>
                <w:lang w:val="en-US" w:eastAsia="zh-CN"/>
              </w:rPr>
              <w:t>1</w:t>
            </w:r>
            <w:r>
              <w:rPr>
                <w:rFonts w:hint="eastAsia" w:ascii="宋体" w:hAnsi="宋体" w:eastAsia="宋体" w:cs="宋体"/>
                <w:bCs/>
                <w:kern w:val="0"/>
                <w:sz w:val="21"/>
                <w:szCs w:val="21"/>
              </w:rPr>
              <w:t>8）、《职业性接触毒物危害程度分级》（GBZ230-2010 ）、《建设项目环境风险评价技术导则》附录A1进行本项目物质危险性（燃爆性、毒理毒性）的识别。对本项目主要原辅材料、产品的毒性与燃烧爆炸性进行判别，结果见表1。</w:t>
            </w:r>
          </w:p>
          <w:p>
            <w:pPr>
              <w:adjustRightInd w:val="0"/>
              <w:snapToGrid w:val="0"/>
              <w:spacing w:line="240" w:lineRule="auto"/>
              <w:jc w:val="center"/>
              <w:rPr>
                <w:rFonts w:hint="eastAsia" w:ascii="宋体" w:hAnsi="宋体" w:eastAsia="宋体" w:cs="宋体"/>
                <w:b w:val="0"/>
                <w:bCs/>
                <w:snapToGrid w:val="0"/>
                <w:kern w:val="0"/>
                <w:sz w:val="21"/>
                <w:szCs w:val="21"/>
              </w:rPr>
            </w:pPr>
            <w:r>
              <w:rPr>
                <w:rFonts w:hint="eastAsia" w:ascii="宋体" w:hAnsi="宋体" w:eastAsia="宋体" w:cs="宋体"/>
                <w:b w:val="0"/>
                <w:bCs/>
                <w:snapToGrid w:val="0"/>
                <w:kern w:val="0"/>
                <w:sz w:val="21"/>
                <w:szCs w:val="21"/>
              </w:rPr>
              <w:t>表1  物质危险性判别表</w:t>
            </w:r>
          </w:p>
          <w:tbl>
            <w:tblPr>
              <w:tblStyle w:val="8"/>
              <w:tblW w:w="897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828"/>
              <w:gridCol w:w="2089"/>
              <w:gridCol w:w="19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87" w:type="dxa"/>
                  <w:noWrap w:val="0"/>
                  <w:tcMar>
                    <w:left w:w="0" w:type="dxa"/>
                    <w:right w:w="0" w:type="dxa"/>
                  </w:tcMar>
                  <w:vAlign w:val="center"/>
                </w:tcPr>
                <w:p>
                  <w:pPr>
                    <w:spacing w:line="24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物质名称</w:t>
                  </w:r>
                </w:p>
              </w:tc>
              <w:tc>
                <w:tcPr>
                  <w:tcW w:w="3828" w:type="dxa"/>
                  <w:noWrap w:val="0"/>
                  <w:tcMar>
                    <w:left w:w="0" w:type="dxa"/>
                    <w:right w:w="0" w:type="dxa"/>
                  </w:tcMar>
                  <w:vAlign w:val="center"/>
                </w:tcPr>
                <w:p>
                  <w:pPr>
                    <w:spacing w:line="24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燃烧爆炸指标</w:t>
                  </w:r>
                </w:p>
              </w:tc>
              <w:tc>
                <w:tcPr>
                  <w:tcW w:w="2089" w:type="dxa"/>
                  <w:noWrap w:val="0"/>
                  <w:vAlign w:val="center"/>
                </w:tcPr>
                <w:p>
                  <w:pPr>
                    <w:spacing w:line="24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毒性指标</w:t>
                  </w:r>
                </w:p>
              </w:tc>
              <w:tc>
                <w:tcPr>
                  <w:tcW w:w="1973" w:type="dxa"/>
                  <w:noWrap w:val="0"/>
                  <w:vAlign w:val="center"/>
                </w:tcPr>
                <w:p>
                  <w:pPr>
                    <w:spacing w:line="24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物质危险性判别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087" w:type="dxa"/>
                  <w:shd w:val="clear" w:color="auto" w:fill="auto"/>
                  <w:noWrap w:val="0"/>
                  <w:tcMar>
                    <w:left w:w="0" w:type="dxa"/>
                    <w:right w:w="0" w:type="dxa"/>
                  </w:tcMar>
                  <w:vAlign w:val="center"/>
                </w:tcPr>
                <w:p>
                  <w:pPr>
                    <w:adjustRightInd w:val="0"/>
                    <w:snapToGrid w:val="0"/>
                    <w:spacing w:line="240" w:lineRule="auto"/>
                    <w:jc w:val="center"/>
                    <w:rPr>
                      <w:rFonts w:hint="eastAsia" w:ascii="宋体" w:hAnsi="宋体" w:eastAsia="宋体" w:cs="宋体"/>
                      <w:sz w:val="21"/>
                      <w:szCs w:val="21"/>
                      <w:shd w:val="clear" w:color="auto" w:fill="FFFFFF"/>
                    </w:rPr>
                  </w:pPr>
                  <w:r>
                    <w:rPr>
                      <w:rFonts w:hint="eastAsia" w:ascii="宋体" w:hAnsi="宋体" w:eastAsia="宋体" w:cs="宋体"/>
                      <w:sz w:val="21"/>
                      <w:szCs w:val="21"/>
                    </w:rPr>
                    <w:t>三氯化磷</w:t>
                  </w:r>
                </w:p>
              </w:tc>
              <w:tc>
                <w:tcPr>
                  <w:tcW w:w="3828" w:type="dxa"/>
                  <w:shd w:val="clear" w:color="auto" w:fill="auto"/>
                  <w:noWrap w:val="0"/>
                  <w:tcMar>
                    <w:left w:w="0" w:type="dxa"/>
                    <w:right w:w="0" w:type="dxa"/>
                  </w:tcMar>
                  <w:vAlign w:val="center"/>
                </w:tcPr>
                <w:p>
                  <w:pPr>
                    <w:spacing w:line="240" w:lineRule="auto"/>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本品不燃，具强腐蚀性、强刺激性，可致人体灼伤。在空气中可生成盐酸雾，遇水猛烈分解， 产生大量的热和浓烟， 甚至爆炸。</w:t>
                  </w:r>
                </w:p>
              </w:tc>
              <w:tc>
                <w:tcPr>
                  <w:tcW w:w="2089" w:type="dxa"/>
                  <w:shd w:val="clear" w:color="auto" w:fill="auto"/>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LD</w:t>
                  </w:r>
                  <w:r>
                    <w:rPr>
                      <w:rFonts w:hint="eastAsia" w:ascii="宋体" w:hAnsi="宋体" w:eastAsia="宋体" w:cs="宋体"/>
                      <w:sz w:val="21"/>
                      <w:szCs w:val="21"/>
                      <w:vertAlign w:val="subscript"/>
                    </w:rPr>
                    <w:t>50</w:t>
                  </w:r>
                  <w:r>
                    <w:rPr>
                      <w:rFonts w:hint="eastAsia" w:ascii="宋体" w:hAnsi="宋体" w:eastAsia="宋体" w:cs="宋体"/>
                      <w:sz w:val="21"/>
                      <w:szCs w:val="21"/>
                    </w:rPr>
                    <w:t>：550mg/kg（大鼠经口</w:t>
                  </w:r>
                </w:p>
              </w:tc>
              <w:tc>
                <w:tcPr>
                  <w:tcW w:w="1973"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中等毒性爆炸液体</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087" w:type="dxa"/>
                  <w:shd w:val="clear" w:color="auto" w:fill="auto"/>
                  <w:noWrap w:val="0"/>
                  <w:tcMar>
                    <w:left w:w="0" w:type="dxa"/>
                    <w:right w:w="0" w:type="dxa"/>
                  </w:tcMar>
                  <w:vAlign w:val="center"/>
                </w:tcPr>
                <w:p>
                  <w:pPr>
                    <w:adjustRightInd w:val="0"/>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黄磷</w:t>
                  </w:r>
                </w:p>
              </w:tc>
              <w:tc>
                <w:tcPr>
                  <w:tcW w:w="3828" w:type="dxa"/>
                  <w:shd w:val="clear" w:color="auto" w:fill="auto"/>
                  <w:noWrap w:val="0"/>
                  <w:tcMar>
                    <w:left w:w="0" w:type="dxa"/>
                    <w:right w:w="0" w:type="dxa"/>
                  </w:tcMar>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shd w:val="clear" w:color="auto" w:fill="FFFFFF"/>
                    </w:rPr>
                    <w:t>接触空气能自燃并引起燃烧和爆炸。在潮湿空气中的自燃点低于在干燥空气中的自燃点。与氯酸盐等氧化剂混合发生爆炸。</w:t>
                  </w:r>
                </w:p>
              </w:tc>
              <w:tc>
                <w:tcPr>
                  <w:tcW w:w="2089" w:type="dxa"/>
                  <w:shd w:val="clear" w:color="auto" w:fill="auto"/>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LD</w:t>
                  </w:r>
                  <w:r>
                    <w:rPr>
                      <w:rFonts w:hint="eastAsia" w:ascii="宋体" w:hAnsi="宋体" w:eastAsia="宋体" w:cs="宋体"/>
                      <w:sz w:val="21"/>
                      <w:szCs w:val="21"/>
                      <w:vertAlign w:val="subscript"/>
                    </w:rPr>
                    <w:t>50</w:t>
                  </w:r>
                  <w:r>
                    <w:rPr>
                      <w:rFonts w:hint="eastAsia" w:ascii="宋体" w:hAnsi="宋体" w:eastAsia="宋体" w:cs="宋体"/>
                      <w:sz w:val="21"/>
                      <w:szCs w:val="21"/>
                    </w:rPr>
                    <w:t>：3.03mg/kg(大鼠经口)</w:t>
                  </w:r>
                </w:p>
              </w:tc>
              <w:tc>
                <w:tcPr>
                  <w:tcW w:w="1973"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易于自燃的物质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87" w:type="dxa"/>
                  <w:shd w:val="clear" w:color="auto" w:fill="auto"/>
                  <w:noWrap w:val="0"/>
                  <w:tcMar>
                    <w:left w:w="0" w:type="dxa"/>
                    <w:right w:w="0" w:type="dxa"/>
                  </w:tcMar>
                  <w:vAlign w:val="center"/>
                </w:tcPr>
                <w:p>
                  <w:pPr>
                    <w:adjustRightInd w:val="0"/>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氯气</w:t>
                  </w:r>
                </w:p>
              </w:tc>
              <w:tc>
                <w:tcPr>
                  <w:tcW w:w="3828" w:type="dxa"/>
                  <w:shd w:val="clear" w:color="auto" w:fill="auto"/>
                  <w:noWrap w:val="0"/>
                  <w:tcMar>
                    <w:left w:w="0" w:type="dxa"/>
                    <w:right w:w="0" w:type="dxa"/>
                  </w:tcMar>
                  <w:vAlign w:val="center"/>
                </w:tcPr>
                <w:p>
                  <w:pPr>
                    <w:spacing w:line="240" w:lineRule="auto"/>
                    <w:jc w:val="center"/>
                    <w:rPr>
                      <w:rFonts w:hint="eastAsia" w:ascii="宋体" w:hAnsi="宋体" w:eastAsia="宋体" w:cs="宋体"/>
                      <w:sz w:val="21"/>
                      <w:szCs w:val="21"/>
                      <w:shd w:val="clear" w:color="auto" w:fill="FFFFFF"/>
                    </w:rPr>
                  </w:pPr>
                  <w:r>
                    <w:rPr>
                      <w:rFonts w:hint="eastAsia" w:ascii="宋体" w:hAnsi="宋体" w:eastAsia="宋体" w:cs="宋体"/>
                      <w:kern w:val="0"/>
                      <w:sz w:val="21"/>
                      <w:szCs w:val="21"/>
                    </w:rPr>
                    <w:t>本品不会燃烧，但可助燃。</w:t>
                  </w:r>
                </w:p>
              </w:tc>
              <w:tc>
                <w:tcPr>
                  <w:tcW w:w="2089" w:type="dxa"/>
                  <w:shd w:val="clear" w:color="auto" w:fill="auto"/>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rPr>
                    <w:t>LC</w:t>
                  </w:r>
                  <w:r>
                    <w:rPr>
                      <w:rFonts w:hint="eastAsia" w:ascii="宋体" w:hAnsi="宋体" w:eastAsia="宋体" w:cs="宋体"/>
                      <w:kern w:val="0"/>
                      <w:sz w:val="21"/>
                      <w:szCs w:val="21"/>
                      <w:vertAlign w:val="subscript"/>
                    </w:rPr>
                    <w:t>50</w:t>
                  </w:r>
                  <w:r>
                    <w:rPr>
                      <w:rFonts w:hint="eastAsia" w:ascii="宋体" w:hAnsi="宋体" w:eastAsia="宋体" w:cs="宋体"/>
                      <w:kern w:val="0"/>
                      <w:sz w:val="21"/>
                      <w:szCs w:val="21"/>
                    </w:rPr>
                    <w:t>850mg/m</w:t>
                  </w:r>
                  <w:r>
                    <w:rPr>
                      <w:rFonts w:hint="eastAsia" w:ascii="宋体" w:hAnsi="宋体" w:eastAsia="宋体" w:cs="宋体"/>
                      <w:kern w:val="0"/>
                      <w:sz w:val="21"/>
                      <w:szCs w:val="21"/>
                      <w:vertAlign w:val="superscript"/>
                    </w:rPr>
                    <w:t>3</w:t>
                  </w:r>
                </w:p>
              </w:tc>
              <w:tc>
                <w:tcPr>
                  <w:tcW w:w="1973"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高毒物质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87" w:type="dxa"/>
                  <w:shd w:val="clear" w:color="auto" w:fill="auto"/>
                  <w:noWrap w:val="0"/>
                  <w:tcMar>
                    <w:left w:w="0" w:type="dxa"/>
                    <w:right w:w="0" w:type="dxa"/>
                  </w:tcMar>
                  <w:vAlign w:val="center"/>
                </w:tcPr>
                <w:p>
                  <w:pPr>
                    <w:adjustRightIn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三氯氧磷</w:t>
                  </w:r>
                </w:p>
              </w:tc>
              <w:tc>
                <w:tcPr>
                  <w:tcW w:w="3828" w:type="dxa"/>
                  <w:shd w:val="clear" w:color="auto" w:fill="auto"/>
                  <w:noWrap w:val="0"/>
                  <w:tcMar>
                    <w:left w:w="0" w:type="dxa"/>
                    <w:right w:w="0" w:type="dxa"/>
                  </w:tcMar>
                  <w:vAlign w:val="center"/>
                </w:tcPr>
                <w:p>
                  <w:pPr>
                    <w:spacing w:line="240" w:lineRule="auto"/>
                    <w:jc w:val="center"/>
                    <w:rPr>
                      <w:rFonts w:hint="eastAsia" w:ascii="宋体" w:hAnsi="宋体" w:eastAsia="宋体" w:cs="宋体"/>
                      <w:sz w:val="21"/>
                      <w:szCs w:val="21"/>
                      <w:shd w:val="clear" w:color="auto" w:fill="FFFFFF"/>
                    </w:rPr>
                  </w:pPr>
                  <w:r>
                    <w:rPr>
                      <w:rFonts w:hint="eastAsia" w:ascii="宋体" w:hAnsi="宋体" w:eastAsia="宋体" w:cs="宋体"/>
                      <w:kern w:val="0"/>
                      <w:sz w:val="21"/>
                      <w:szCs w:val="21"/>
                    </w:rPr>
                    <w:t>遇水猛烈分解，产生大量的热和浓烟，甚至爆炸。</w:t>
                  </w:r>
                </w:p>
              </w:tc>
              <w:tc>
                <w:tcPr>
                  <w:tcW w:w="2089" w:type="dxa"/>
                  <w:shd w:val="clear" w:color="auto" w:fill="auto"/>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rPr>
                    <w:t>LD</w:t>
                  </w:r>
                  <w:r>
                    <w:rPr>
                      <w:rFonts w:hint="eastAsia" w:ascii="宋体" w:hAnsi="宋体" w:eastAsia="宋体" w:cs="宋体"/>
                      <w:kern w:val="0"/>
                      <w:sz w:val="21"/>
                      <w:szCs w:val="21"/>
                      <w:vertAlign w:val="subscript"/>
                    </w:rPr>
                    <w:t>50</w:t>
                  </w:r>
                  <w:r>
                    <w:rPr>
                      <w:rFonts w:hint="eastAsia" w:ascii="宋体" w:hAnsi="宋体" w:eastAsia="宋体" w:cs="宋体"/>
                      <w:kern w:val="0"/>
                      <w:sz w:val="21"/>
                      <w:szCs w:val="21"/>
                    </w:rPr>
                    <w:t>380mg/kg(大鼠经口)</w:t>
                  </w:r>
                </w:p>
              </w:tc>
              <w:tc>
                <w:tcPr>
                  <w:tcW w:w="1973"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易爆物质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87" w:type="dxa"/>
                  <w:shd w:val="clear" w:color="auto" w:fill="auto"/>
                  <w:noWrap w:val="0"/>
                  <w:tcMar>
                    <w:left w:w="0" w:type="dxa"/>
                    <w:right w:w="0" w:type="dxa"/>
                  </w:tcMar>
                  <w:vAlign w:val="center"/>
                </w:tcPr>
                <w:p>
                  <w:pPr>
                    <w:adjustRightIn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五氯化磷</w:t>
                  </w:r>
                </w:p>
              </w:tc>
              <w:tc>
                <w:tcPr>
                  <w:tcW w:w="3828" w:type="dxa"/>
                  <w:shd w:val="clear" w:color="auto" w:fill="auto"/>
                  <w:noWrap w:val="0"/>
                  <w:tcMar>
                    <w:left w:w="0" w:type="dxa"/>
                    <w:right w:w="0" w:type="dxa"/>
                  </w:tcMar>
                  <w:vAlign w:val="center"/>
                </w:tcPr>
                <w:p>
                  <w:pPr>
                    <w:spacing w:line="240" w:lineRule="auto"/>
                    <w:jc w:val="center"/>
                    <w:rPr>
                      <w:rFonts w:hint="eastAsia" w:ascii="宋体" w:hAnsi="宋体" w:eastAsia="宋体" w:cs="宋体"/>
                      <w:sz w:val="21"/>
                      <w:szCs w:val="21"/>
                      <w:shd w:val="clear" w:color="auto" w:fill="FFFFFF"/>
                    </w:rPr>
                  </w:pPr>
                  <w:r>
                    <w:rPr>
                      <w:rFonts w:hint="eastAsia" w:ascii="宋体" w:hAnsi="宋体" w:eastAsia="宋体" w:cs="宋体"/>
                      <w:kern w:val="0"/>
                      <w:sz w:val="21"/>
                      <w:szCs w:val="21"/>
                    </w:rPr>
                    <w:t>遇水发热、冒烟甚至燃烧爆炸。</w:t>
                  </w:r>
                </w:p>
              </w:tc>
              <w:tc>
                <w:tcPr>
                  <w:tcW w:w="2089" w:type="dxa"/>
                  <w:shd w:val="clear" w:color="auto" w:fill="auto"/>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rPr>
                    <w:t>LD</w:t>
                  </w:r>
                  <w:r>
                    <w:rPr>
                      <w:rFonts w:hint="eastAsia" w:ascii="宋体" w:hAnsi="宋体" w:eastAsia="宋体" w:cs="宋体"/>
                      <w:kern w:val="0"/>
                      <w:sz w:val="21"/>
                      <w:szCs w:val="21"/>
                      <w:vertAlign w:val="subscript"/>
                    </w:rPr>
                    <w:t>50</w:t>
                  </w:r>
                  <w:r>
                    <w:rPr>
                      <w:rFonts w:hint="eastAsia" w:ascii="宋体" w:hAnsi="宋体" w:eastAsia="宋体" w:cs="宋体"/>
                      <w:kern w:val="0"/>
                      <w:sz w:val="21"/>
                      <w:szCs w:val="21"/>
                    </w:rPr>
                    <w:t>660mg/kg(大鼠经口)</w:t>
                  </w:r>
                </w:p>
              </w:tc>
              <w:tc>
                <w:tcPr>
                  <w:tcW w:w="1973"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有毒、爆炸物质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87" w:type="dxa"/>
                  <w:shd w:val="clear" w:color="auto" w:fill="auto"/>
                  <w:noWrap w:val="0"/>
                  <w:tcMar>
                    <w:left w:w="0" w:type="dxa"/>
                    <w:right w:w="0" w:type="dxa"/>
                  </w:tcMar>
                  <w:vAlign w:val="center"/>
                </w:tcPr>
                <w:p>
                  <w:pPr>
                    <w:adjustRightIn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盐酸</w:t>
                  </w:r>
                </w:p>
              </w:tc>
              <w:tc>
                <w:tcPr>
                  <w:tcW w:w="3828" w:type="dxa"/>
                  <w:shd w:val="clear" w:color="auto" w:fill="auto"/>
                  <w:noWrap w:val="0"/>
                  <w:tcMar>
                    <w:left w:w="0" w:type="dxa"/>
                    <w:right w:w="0" w:type="dxa"/>
                  </w:tcMar>
                  <w:vAlign w:val="center"/>
                </w:tcPr>
                <w:p>
                  <w:pPr>
                    <w:spacing w:line="240" w:lineRule="auto"/>
                    <w:jc w:val="center"/>
                    <w:rPr>
                      <w:rFonts w:hint="eastAsia" w:ascii="宋体" w:hAnsi="宋体" w:eastAsia="宋体" w:cs="宋体"/>
                      <w:sz w:val="21"/>
                      <w:szCs w:val="21"/>
                      <w:shd w:val="clear" w:color="auto" w:fill="FFFFFF"/>
                    </w:rPr>
                  </w:pPr>
                  <w:r>
                    <w:rPr>
                      <w:rFonts w:hint="eastAsia" w:ascii="宋体" w:hAnsi="宋体" w:eastAsia="宋体" w:cs="宋体"/>
                      <w:kern w:val="0"/>
                      <w:sz w:val="21"/>
                      <w:szCs w:val="21"/>
                    </w:rPr>
                    <w:t>本品不燃，具强腐蚀性、强刺激性，可致人体灼伤</w:t>
                  </w:r>
                </w:p>
              </w:tc>
              <w:tc>
                <w:tcPr>
                  <w:tcW w:w="2089" w:type="dxa"/>
                  <w:shd w:val="clear" w:color="auto" w:fill="auto"/>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LD</w:t>
                  </w:r>
                  <w:r>
                    <w:rPr>
                      <w:rFonts w:hint="eastAsia" w:ascii="宋体" w:hAnsi="宋体" w:eastAsia="宋体" w:cs="宋体"/>
                      <w:sz w:val="21"/>
                      <w:szCs w:val="21"/>
                      <w:vertAlign w:val="subscript"/>
                    </w:rPr>
                    <w:t>50</w:t>
                  </w:r>
                  <w:r>
                    <w:rPr>
                      <w:rFonts w:hint="eastAsia" w:ascii="宋体" w:hAnsi="宋体" w:eastAsia="宋体" w:cs="宋体"/>
                      <w:sz w:val="21"/>
                      <w:szCs w:val="21"/>
                    </w:rPr>
                    <w:t>900mg/kg(兔经口)</w:t>
                  </w:r>
                </w:p>
              </w:tc>
              <w:tc>
                <w:tcPr>
                  <w:tcW w:w="1973"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不燃</w:t>
                  </w:r>
                </w:p>
              </w:tc>
            </w:tr>
          </w:tbl>
          <w:p>
            <w:pPr>
              <w:adjustRightInd w:val="0"/>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bCs/>
                <w:sz w:val="21"/>
                <w:szCs w:val="21"/>
              </w:rPr>
              <w:t>储罐区、原料仓库及成品仓库。根据本项目主要物料的危害特征、物化性质、毒性及储量，选氯气、黄磷、三氯化磷、三氯氧磷等作为评价因子。</w:t>
            </w:r>
            <w:r>
              <w:rPr>
                <w:rFonts w:hint="eastAsia" w:ascii="宋体" w:hAnsi="宋体" w:eastAsia="宋体" w:cs="宋体"/>
                <w:sz w:val="21"/>
                <w:szCs w:val="21"/>
                <w:lang w:val="en-US" w:eastAsia="zh-CN"/>
              </w:rPr>
              <w:t xml:space="preserve">                     </w:t>
            </w:r>
          </w:p>
          <w:p>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 xml:space="preserve"> 2、</w:t>
            </w:r>
            <w:r>
              <w:rPr>
                <w:rFonts w:hint="eastAsia" w:ascii="宋体" w:hAnsi="宋体" w:eastAsia="宋体" w:cs="宋体"/>
                <w:sz w:val="21"/>
                <w:szCs w:val="21"/>
              </w:rPr>
              <w:t>生产设施和生产过程潜在危险性识别</w:t>
            </w:r>
            <w:bookmarkEnd w:id="5"/>
            <w:bookmarkEnd w:id="6"/>
            <w:bookmarkStart w:id="7" w:name="_Toc465190993"/>
            <w:bookmarkStart w:id="8" w:name="_Toc441768251"/>
            <w:r>
              <w:rPr>
                <w:rFonts w:hint="eastAsia" w:ascii="宋体" w:hAnsi="宋体" w:eastAsia="宋体" w:cs="宋体"/>
                <w:sz w:val="21"/>
                <w:szCs w:val="21"/>
                <w:lang w:eastAsia="zh-CN"/>
              </w:rPr>
              <w:t>，</w:t>
            </w:r>
            <w:r>
              <w:rPr>
                <w:rFonts w:hint="eastAsia" w:ascii="宋体" w:hAnsi="宋体" w:eastAsia="宋体" w:cs="宋体"/>
                <w:sz w:val="21"/>
                <w:szCs w:val="21"/>
              </w:rPr>
              <w:t>包括：反应釜、贮罐、阀门和泵等泄漏或破裂</w:t>
            </w:r>
            <w:r>
              <w:rPr>
                <w:rFonts w:hint="eastAsia" w:ascii="宋体" w:hAnsi="宋体" w:eastAsia="宋体" w:cs="宋体"/>
                <w:sz w:val="21"/>
                <w:szCs w:val="21"/>
                <w:lang w:eastAsia="zh-CN"/>
              </w:rPr>
              <w:t>；</w:t>
            </w:r>
            <w:r>
              <w:rPr>
                <w:rFonts w:hint="eastAsia" w:ascii="宋体" w:hAnsi="宋体" w:eastAsia="宋体" w:cs="宋体"/>
                <w:sz w:val="21"/>
                <w:szCs w:val="21"/>
              </w:rPr>
              <w:t>蒸（精）馏时</w:t>
            </w:r>
            <w:r>
              <w:rPr>
                <w:rFonts w:hint="eastAsia" w:ascii="宋体" w:hAnsi="宋体" w:eastAsia="宋体" w:cs="宋体"/>
                <w:sz w:val="21"/>
                <w:szCs w:val="21"/>
                <w:lang w:eastAsia="zh-CN"/>
              </w:rPr>
              <w:t>的</w:t>
            </w:r>
            <w:r>
              <w:rPr>
                <w:rFonts w:hint="eastAsia" w:ascii="宋体" w:hAnsi="宋体" w:eastAsia="宋体" w:cs="宋体"/>
                <w:sz w:val="21"/>
                <w:szCs w:val="21"/>
              </w:rPr>
              <w:t>投料量</w:t>
            </w:r>
            <w:r>
              <w:rPr>
                <w:rFonts w:hint="eastAsia" w:ascii="宋体" w:hAnsi="宋体" w:eastAsia="宋体" w:cs="宋体"/>
                <w:sz w:val="21"/>
                <w:szCs w:val="21"/>
                <w:lang w:eastAsia="zh-CN"/>
              </w:rPr>
              <w:t>控制</w:t>
            </w:r>
            <w:r>
              <w:rPr>
                <w:rFonts w:hint="eastAsia" w:ascii="宋体" w:hAnsi="宋体" w:eastAsia="宋体" w:cs="宋体"/>
                <w:sz w:val="21"/>
                <w:szCs w:val="21"/>
                <w:lang w:val="en-US" w:eastAsia="zh-CN"/>
              </w:rPr>
              <w:t>；</w:t>
            </w:r>
            <w:r>
              <w:rPr>
                <w:rFonts w:hint="eastAsia" w:ascii="宋体" w:hAnsi="宋体" w:eastAsia="宋体" w:cs="宋体"/>
                <w:sz w:val="21"/>
                <w:szCs w:val="21"/>
              </w:rPr>
              <w:t>生产车间设备出现故障或断电</w:t>
            </w:r>
            <w:r>
              <w:rPr>
                <w:rFonts w:hint="eastAsia" w:ascii="宋体" w:hAnsi="宋体" w:eastAsia="宋体" w:cs="宋体"/>
                <w:sz w:val="21"/>
                <w:szCs w:val="21"/>
                <w:lang w:eastAsia="zh-CN"/>
              </w:rPr>
              <w:t>、</w:t>
            </w:r>
            <w:r>
              <w:rPr>
                <w:rFonts w:hint="eastAsia" w:ascii="宋体" w:hAnsi="宋体" w:eastAsia="宋体" w:cs="宋体"/>
                <w:sz w:val="21"/>
                <w:szCs w:val="21"/>
              </w:rPr>
              <w:t>管道、阀门破损物料发生泄漏</w:t>
            </w:r>
            <w:r>
              <w:rPr>
                <w:rFonts w:hint="eastAsia" w:ascii="宋体" w:hAnsi="宋体" w:eastAsia="宋体" w:cs="宋体"/>
                <w:sz w:val="21"/>
                <w:szCs w:val="21"/>
                <w:lang w:eastAsia="zh-CN"/>
              </w:rPr>
              <w:t>等的突发情况；</w:t>
            </w:r>
            <w:r>
              <w:rPr>
                <w:rFonts w:hint="eastAsia" w:ascii="宋体" w:hAnsi="宋体" w:eastAsia="宋体" w:cs="宋体"/>
                <w:sz w:val="21"/>
                <w:szCs w:val="21"/>
              </w:rPr>
              <w:t>污染治理措施运转不正常</w:t>
            </w:r>
            <w:r>
              <w:rPr>
                <w:rFonts w:hint="eastAsia" w:ascii="宋体" w:hAnsi="宋体" w:eastAsia="宋体" w:cs="宋体"/>
                <w:sz w:val="21"/>
                <w:szCs w:val="21"/>
                <w:lang w:eastAsia="zh-CN"/>
              </w:rPr>
              <w:t>可能造成的后果。</w:t>
            </w:r>
            <w:r>
              <w:rPr>
                <w:rFonts w:hint="eastAsia" w:ascii="宋体" w:hAnsi="宋体" w:eastAsia="宋体" w:cs="宋体"/>
                <w:sz w:val="21"/>
                <w:szCs w:val="21"/>
                <w:lang w:val="en-US" w:eastAsia="zh-CN"/>
              </w:rPr>
              <w:t xml:space="preserve">                                                                   3、</w:t>
            </w:r>
            <w:r>
              <w:rPr>
                <w:rFonts w:hint="eastAsia" w:ascii="宋体" w:hAnsi="宋体" w:eastAsia="宋体" w:cs="宋体"/>
                <w:sz w:val="21"/>
                <w:szCs w:val="21"/>
              </w:rPr>
              <w:t>重大危险源辨识</w:t>
            </w:r>
            <w:bookmarkEnd w:id="7"/>
            <w:bookmarkEnd w:id="8"/>
            <w:bookmarkStart w:id="9" w:name="_Toc441768252"/>
            <w:bookmarkStart w:id="10" w:name="_Toc465190994"/>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根据《危险化学品重大危险源辨识》（GB18218-20</w:t>
            </w:r>
            <w:r>
              <w:rPr>
                <w:rFonts w:hint="eastAsia" w:ascii="宋体" w:hAnsi="宋体" w:eastAsia="宋体" w:cs="宋体"/>
                <w:sz w:val="21"/>
                <w:szCs w:val="21"/>
                <w:lang w:val="en-US" w:eastAsia="zh-CN"/>
              </w:rPr>
              <w:t>18</w:t>
            </w:r>
            <w:r>
              <w:rPr>
                <w:rFonts w:hint="eastAsia" w:ascii="宋体" w:hAnsi="宋体" w:eastAsia="宋体" w:cs="宋体"/>
                <w:sz w:val="21"/>
                <w:szCs w:val="21"/>
              </w:rPr>
              <w:t>）与《建设项目环境风险评价技术导则》（HJ/T169-20</w:t>
            </w:r>
            <w:r>
              <w:rPr>
                <w:rFonts w:hint="eastAsia" w:ascii="宋体" w:hAnsi="宋体" w:eastAsia="宋体" w:cs="宋体"/>
                <w:sz w:val="21"/>
                <w:szCs w:val="21"/>
                <w:lang w:val="en-US" w:eastAsia="zh-CN"/>
              </w:rPr>
              <w:t>18</w:t>
            </w:r>
            <w:r>
              <w:rPr>
                <w:rFonts w:hint="eastAsia" w:ascii="宋体" w:hAnsi="宋体" w:eastAsia="宋体" w:cs="宋体"/>
                <w:sz w:val="21"/>
                <w:szCs w:val="21"/>
              </w:rPr>
              <w:t>）中辨识重大危险源的依据和方法：凡生产、加工、运输、使用或贮存危险性物质，且危险性物质的数量等于或超过临界量的功能单元，定为重大危险源。我公司辨析为危险化学品的有氯气、黄磷、三氯化磷、三氯氧磷、三乙胺等，辨析单元为储罐区、贮存区。</w:t>
            </w:r>
          </w:p>
          <w:p>
            <w:pPr>
              <w:numPr>
                <w:ilvl w:val="0"/>
                <w:numId w:val="0"/>
              </w:numPr>
              <w:spacing w:before="120" w:beforeLines="50" w:after="120" w:afterLines="50" w:line="240" w:lineRule="auto"/>
              <w:jc w:val="left"/>
              <w:outlineLvl w:val="1"/>
              <w:rPr>
                <w:rFonts w:hint="eastAsia" w:ascii="宋体" w:hAnsi="宋体" w:eastAsia="宋体" w:cs="宋体"/>
                <w:sz w:val="21"/>
                <w:szCs w:val="21"/>
              </w:rPr>
            </w:pPr>
            <w:r>
              <w:rPr>
                <w:rFonts w:hint="eastAsia" w:ascii="宋体" w:hAnsi="宋体" w:eastAsia="宋体" w:cs="宋体"/>
                <w:sz w:val="21"/>
                <w:szCs w:val="21"/>
                <w:lang w:val="en-US" w:eastAsia="zh-CN"/>
              </w:rPr>
              <w:t xml:space="preserve"> 4、</w:t>
            </w:r>
            <w:r>
              <w:rPr>
                <w:rFonts w:hint="eastAsia" w:ascii="宋体" w:hAnsi="宋体" w:eastAsia="宋体" w:cs="宋体"/>
                <w:sz w:val="21"/>
                <w:szCs w:val="21"/>
              </w:rPr>
              <w:t>评价工作等级划分</w:t>
            </w:r>
            <w:bookmarkEnd w:id="9"/>
            <w:bookmarkEnd w:id="10"/>
            <w:r>
              <w:rPr>
                <w:rFonts w:hint="eastAsia" w:ascii="宋体" w:hAnsi="宋体" w:eastAsia="宋体" w:cs="宋体"/>
                <w:sz w:val="21"/>
                <w:szCs w:val="21"/>
                <w:lang w:val="en-US" w:eastAsia="zh-CN"/>
              </w:rPr>
              <w:t xml:space="preserve"> ：</w:t>
            </w:r>
            <w:r>
              <w:rPr>
                <w:rFonts w:hint="eastAsia" w:ascii="宋体" w:hAnsi="宋体" w:eastAsia="宋体" w:cs="宋体"/>
                <w:kern w:val="0"/>
                <w:sz w:val="21"/>
                <w:szCs w:val="21"/>
              </w:rPr>
              <w:t>根据《建设项目环境风险评价技术导则》（HJ/T169-</w:t>
            </w:r>
            <w:r>
              <w:rPr>
                <w:rFonts w:hint="eastAsia" w:ascii="宋体" w:hAnsi="宋体" w:eastAsia="宋体" w:cs="宋体"/>
                <w:kern w:val="0"/>
                <w:sz w:val="21"/>
                <w:szCs w:val="21"/>
                <w:lang w:val="en-US" w:eastAsia="zh-CN"/>
              </w:rPr>
              <w:t>2018（</w:t>
            </w:r>
            <w:r>
              <w:rPr>
                <w:rFonts w:hint="eastAsia" w:ascii="宋体" w:hAnsi="宋体" w:eastAsia="宋体" w:cs="宋体"/>
                <w:kern w:val="0"/>
                <w:sz w:val="21"/>
                <w:szCs w:val="21"/>
              </w:rPr>
              <w:t>20</w:t>
            </w:r>
            <w:r>
              <w:rPr>
                <w:rFonts w:hint="eastAsia" w:ascii="宋体" w:hAnsi="宋体" w:eastAsia="宋体" w:cs="宋体"/>
                <w:kern w:val="0"/>
                <w:sz w:val="21"/>
                <w:szCs w:val="21"/>
                <w:lang w:val="en-US" w:eastAsia="zh-CN"/>
              </w:rPr>
              <w:t>22</w:t>
            </w:r>
            <w:bookmarkStart w:id="21" w:name="_GoBack"/>
            <w:bookmarkEnd w:id="21"/>
            <w:r>
              <w:rPr>
                <w:rFonts w:hint="eastAsia" w:ascii="宋体" w:hAnsi="宋体" w:eastAsia="宋体" w:cs="宋体"/>
                <w:kern w:val="0"/>
                <w:sz w:val="21"/>
                <w:szCs w:val="21"/>
                <w:lang w:val="en-US" w:eastAsia="zh-CN"/>
              </w:rPr>
              <w:t>版</w:t>
            </w:r>
            <w:r>
              <w:rPr>
                <w:rFonts w:hint="eastAsia" w:ascii="宋体" w:hAnsi="宋体" w:eastAsia="宋体" w:cs="宋体"/>
                <w:kern w:val="0"/>
                <w:sz w:val="21"/>
                <w:szCs w:val="21"/>
              </w:rPr>
              <w:t>），</w:t>
            </w:r>
            <w:r>
              <w:rPr>
                <w:rFonts w:hint="eastAsia" w:ascii="宋体" w:hAnsi="宋体" w:eastAsia="宋体" w:cs="宋体"/>
                <w:sz w:val="21"/>
                <w:szCs w:val="21"/>
              </w:rPr>
              <w:t>我公司环境风险评价等级为一级，环境风险评价大气环境评价范围界定为以生产装置、储罐区和仓库等贮存区为源点，半径5km的范围内</w:t>
            </w:r>
            <w:r>
              <w:rPr>
                <w:rFonts w:hint="eastAsia" w:ascii="宋体" w:hAnsi="宋体" w:eastAsia="宋体" w:cs="宋体"/>
                <w:sz w:val="21"/>
                <w:szCs w:val="21"/>
                <w:lang w:eastAsia="zh-CN"/>
              </w:rPr>
              <w:t>。</w:t>
            </w:r>
          </w:p>
          <w:p>
            <w:pPr>
              <w:overflowPunct w:val="0"/>
              <w:spacing w:line="240" w:lineRule="auto"/>
              <w:contextualSpacing/>
              <w:rPr>
                <w:rFonts w:hint="eastAsia" w:ascii="宋体" w:hAnsi="宋体" w:eastAsia="宋体" w:cs="宋体"/>
                <w:b/>
                <w:bCs/>
                <w:sz w:val="21"/>
                <w:szCs w:val="21"/>
              </w:rPr>
            </w:pPr>
            <w:bookmarkStart w:id="11" w:name="_Toc465190995"/>
            <w:bookmarkStart w:id="12" w:name="_Toc438712929"/>
            <w:bookmarkStart w:id="13" w:name="_Toc282852623"/>
            <w:r>
              <w:rPr>
                <w:rFonts w:hint="eastAsia" w:ascii="宋体" w:hAnsi="宋体" w:eastAsia="宋体" w:cs="宋体"/>
                <w:b/>
                <w:bCs/>
                <w:sz w:val="21"/>
                <w:szCs w:val="21"/>
                <w:lang w:val="en-US" w:eastAsia="zh-CN"/>
              </w:rPr>
              <w:t>三</w:t>
            </w:r>
            <w:r>
              <w:rPr>
                <w:rFonts w:hint="eastAsia" w:ascii="宋体" w:hAnsi="宋体" w:eastAsia="宋体" w:cs="宋体"/>
                <w:b/>
                <w:bCs/>
                <w:sz w:val="21"/>
                <w:szCs w:val="21"/>
                <w:lang w:eastAsia="zh-CN"/>
              </w:rPr>
              <w:t>、</w:t>
            </w:r>
            <w:bookmarkEnd w:id="11"/>
            <w:bookmarkEnd w:id="12"/>
            <w:bookmarkEnd w:id="13"/>
            <w:r>
              <w:rPr>
                <w:rFonts w:hint="eastAsia" w:ascii="宋体" w:hAnsi="宋体" w:eastAsia="宋体" w:cs="宋体"/>
                <w:b/>
                <w:bCs/>
                <w:sz w:val="21"/>
                <w:szCs w:val="21"/>
              </w:rPr>
              <w:t>环境风险防范措施</w:t>
            </w:r>
          </w:p>
          <w:p>
            <w:pPr>
              <w:keepNext/>
              <w:keepLines/>
              <w:spacing w:line="240" w:lineRule="auto"/>
              <w:outlineLvl w:val="2"/>
              <w:rPr>
                <w:rFonts w:hint="eastAsia" w:ascii="宋体" w:hAnsi="宋体" w:eastAsia="宋体" w:cs="宋体"/>
                <w:sz w:val="21"/>
                <w:szCs w:val="21"/>
              </w:rPr>
            </w:pPr>
            <w:bookmarkStart w:id="14" w:name="_Toc465191003"/>
            <w:r>
              <w:rPr>
                <w:rFonts w:hint="eastAsia" w:ascii="宋体" w:hAnsi="宋体" w:eastAsia="宋体" w:cs="宋体"/>
                <w:sz w:val="21"/>
                <w:szCs w:val="21"/>
                <w:lang w:val="en-US" w:eastAsia="zh-CN"/>
              </w:rPr>
              <w:t>1、</w:t>
            </w:r>
            <w:bookmarkEnd w:id="14"/>
            <w:bookmarkStart w:id="15" w:name="_Toc465191004"/>
            <w:bookmarkStart w:id="16" w:name="_Toc441768330"/>
            <w:r>
              <w:rPr>
                <w:rFonts w:hint="eastAsia" w:ascii="宋体" w:hAnsi="宋体" w:eastAsia="宋体" w:cs="宋体"/>
                <w:sz w:val="21"/>
                <w:szCs w:val="21"/>
              </w:rPr>
              <w:t>截留措施</w:t>
            </w:r>
          </w:p>
          <w:p>
            <w:pPr>
              <w:adjustRightInd w:val="0"/>
              <w:snapToGrid w:val="0"/>
              <w:spacing w:line="500" w:lineRule="exact"/>
              <w:ind w:firstLine="480"/>
              <w:rPr>
                <w:rFonts w:hint="eastAsia" w:ascii="宋体" w:hAnsi="宋体" w:eastAsia="宋体" w:cs="宋体"/>
                <w:sz w:val="21"/>
                <w:szCs w:val="21"/>
              </w:rPr>
            </w:pPr>
            <w:r>
              <w:rPr>
                <w:rFonts w:hint="eastAsia" w:ascii="宋体" w:hAnsi="宋体" w:eastAsia="宋体" w:cs="宋体"/>
                <w:sz w:val="21"/>
                <w:szCs w:val="21"/>
              </w:rPr>
              <w:t>公司的风险单元主要有储罐区、生产区、装卸区。风险单元截流措施详情见</w:t>
            </w:r>
            <w:r>
              <w:rPr>
                <w:rFonts w:hint="eastAsia" w:ascii="宋体" w:hAnsi="宋体" w:eastAsia="宋体" w:cs="宋体"/>
                <w:sz w:val="21"/>
                <w:szCs w:val="21"/>
                <w:lang w:val="en-US" w:eastAsia="zh-CN"/>
              </w:rPr>
              <w:t>下</w:t>
            </w:r>
            <w:r>
              <w:rPr>
                <w:rFonts w:hint="eastAsia" w:ascii="宋体" w:hAnsi="宋体" w:eastAsia="宋体" w:cs="宋体"/>
                <w:sz w:val="21"/>
                <w:szCs w:val="21"/>
              </w:rPr>
              <w:t>表。</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eastAsia" w:ascii="宋体" w:hAnsi="宋体" w:eastAsia="宋体" w:cs="宋体"/>
                <w:b/>
                <w:sz w:val="21"/>
                <w:szCs w:val="21"/>
              </w:rPr>
            </w:pPr>
            <w:r>
              <w:rPr>
                <w:rFonts w:hint="eastAsia" w:ascii="宋体" w:hAnsi="宋体" w:eastAsia="宋体" w:cs="宋体"/>
                <w:b/>
                <w:sz w:val="21"/>
                <w:szCs w:val="21"/>
              </w:rPr>
              <w:t>表1 风险单元截流措施</w:t>
            </w:r>
          </w:p>
          <w:tbl>
            <w:tblPr>
              <w:tblStyle w:val="8"/>
              <w:tblW w:w="4997" w:type="pct"/>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2"/>
              <w:gridCol w:w="573"/>
              <w:gridCol w:w="1748"/>
              <w:gridCol w:w="875"/>
              <w:gridCol w:w="663"/>
              <w:gridCol w:w="1086"/>
              <w:gridCol w:w="3921"/>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66"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名称</w:t>
                  </w:r>
                </w:p>
              </w:tc>
              <w:tc>
                <w:tcPr>
                  <w:tcW w:w="29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编号</w:t>
                  </w:r>
                </w:p>
              </w:tc>
              <w:tc>
                <w:tcPr>
                  <w:tcW w:w="913"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储存物料</w:t>
                  </w:r>
                </w:p>
              </w:tc>
              <w:tc>
                <w:tcPr>
                  <w:tcW w:w="45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规格m</w:t>
                  </w:r>
                  <w:r>
                    <w:rPr>
                      <w:rFonts w:hint="eastAsia" w:ascii="宋体" w:hAnsi="宋体" w:eastAsia="宋体" w:cs="宋体"/>
                      <w:b/>
                      <w:bCs/>
                      <w:sz w:val="21"/>
                      <w:szCs w:val="21"/>
                      <w:vertAlign w:val="superscript"/>
                    </w:rPr>
                    <w:t>3</w:t>
                  </w:r>
                </w:p>
              </w:tc>
              <w:tc>
                <w:tcPr>
                  <w:tcW w:w="346"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数量</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最大存在量t</w:t>
                  </w:r>
                </w:p>
              </w:tc>
              <w:tc>
                <w:tcPr>
                  <w:tcW w:w="2049" w:type="pct"/>
                  <w:tcBorders>
                    <w:tl2br w:val="nil"/>
                    <w:tr2bl w:val="nil"/>
                  </w:tcBorders>
                  <w:noWrap w:val="0"/>
                  <w:vAlign w:val="center"/>
                </w:tcPr>
                <w:p>
                  <w:pPr>
                    <w:adjustRightInd w:val="0"/>
                    <w:snapToGrid w:val="0"/>
                    <w:spacing w:line="240" w:lineRule="auto"/>
                    <w:ind w:firstLine="360"/>
                    <w:jc w:val="center"/>
                    <w:rPr>
                      <w:rFonts w:hint="eastAsia" w:ascii="宋体" w:hAnsi="宋体" w:eastAsia="宋体" w:cs="宋体"/>
                      <w:b/>
                      <w:bCs/>
                      <w:sz w:val="21"/>
                      <w:szCs w:val="21"/>
                    </w:rPr>
                  </w:pPr>
                  <w:r>
                    <w:rPr>
                      <w:rFonts w:hint="eastAsia" w:ascii="宋体" w:hAnsi="宋体" w:eastAsia="宋体" w:cs="宋体"/>
                      <w:b/>
                      <w:bCs/>
                      <w:sz w:val="21"/>
                      <w:szCs w:val="21"/>
                    </w:rPr>
                    <w:t>截流措施</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66" w:type="pct"/>
                  <w:vMerge w:val="restar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罐区</w:t>
                  </w:r>
                </w:p>
              </w:tc>
              <w:tc>
                <w:tcPr>
                  <w:tcW w:w="299" w:type="pct"/>
                  <w:vMerge w:val="restar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913" w:type="pct"/>
                  <w:tcBorders>
                    <w:tl2br w:val="nil"/>
                    <w:tr2bl w:val="nil"/>
                  </w:tcBorders>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bCs/>
                      <w:sz w:val="21"/>
                      <w:szCs w:val="21"/>
                    </w:rPr>
                    <w:t>液氯储罐</w:t>
                  </w:r>
                </w:p>
              </w:tc>
              <w:tc>
                <w:tcPr>
                  <w:tcW w:w="457" w:type="pct"/>
                  <w:tcBorders>
                    <w:tl2br w:val="nil"/>
                    <w:tr2bl w:val="nil"/>
                  </w:tcBorders>
                  <w:noWrap w:val="0"/>
                  <w:vAlign w:val="center"/>
                </w:tcPr>
                <w:p>
                  <w:pPr>
                    <w:autoSpaceDE w:val="0"/>
                    <w:autoSpaceDN w:val="0"/>
                    <w:snapToGrid w:val="0"/>
                    <w:jc w:val="center"/>
                    <w:rPr>
                      <w:rFonts w:hint="eastAsia" w:ascii="宋体" w:hAnsi="宋体" w:eastAsia="宋体" w:cs="宋体"/>
                      <w:sz w:val="21"/>
                      <w:szCs w:val="21"/>
                    </w:rPr>
                  </w:pPr>
                  <w:r>
                    <w:rPr>
                      <w:rFonts w:hint="eastAsia" w:ascii="宋体" w:hAnsi="宋体" w:eastAsia="宋体" w:cs="宋体"/>
                      <w:color w:val="000000"/>
                      <w:sz w:val="21"/>
                      <w:szCs w:val="21"/>
                    </w:rPr>
                    <w:t>53.5</w:t>
                  </w:r>
                  <w:r>
                    <w:rPr>
                      <w:rFonts w:hint="eastAsia" w:ascii="宋体" w:hAnsi="宋体" w:eastAsia="宋体" w:cs="宋体"/>
                      <w:sz w:val="21"/>
                      <w:szCs w:val="21"/>
                    </w:rPr>
                    <w:t xml:space="preserve"> m</w:t>
                  </w:r>
                  <w:r>
                    <w:rPr>
                      <w:rFonts w:hint="eastAsia" w:ascii="宋体" w:hAnsi="宋体" w:eastAsia="宋体" w:cs="宋体"/>
                      <w:sz w:val="21"/>
                      <w:szCs w:val="21"/>
                      <w:vertAlign w:val="superscript"/>
                    </w:rPr>
                    <w:t>3</w:t>
                  </w:r>
                </w:p>
              </w:tc>
              <w:tc>
                <w:tcPr>
                  <w:tcW w:w="346" w:type="pct"/>
                  <w:tcBorders>
                    <w:tl2br w:val="nil"/>
                    <w:tr2bl w:val="nil"/>
                  </w:tcBorders>
                  <w:noWrap w:val="0"/>
                  <w:vAlign w:val="center"/>
                </w:tcPr>
                <w:p>
                  <w:pPr>
                    <w:snapToGrid w:val="0"/>
                    <w:jc w:val="center"/>
                    <w:rPr>
                      <w:rFonts w:hint="eastAsia" w:ascii="宋体" w:hAnsi="宋体" w:eastAsia="宋体" w:cs="宋体"/>
                      <w:sz w:val="21"/>
                      <w:szCs w:val="21"/>
                      <w:lang w:eastAsia="zh-CN"/>
                    </w:rPr>
                  </w:pPr>
                  <w:r>
                    <w:rPr>
                      <w:rFonts w:hint="eastAsia" w:ascii="宋体" w:hAnsi="宋体" w:eastAsia="宋体" w:cs="宋体"/>
                      <w:color w:val="000000"/>
                      <w:sz w:val="21"/>
                      <w:szCs w:val="21"/>
                    </w:rPr>
                    <w:t>3</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11.8</w:t>
                  </w:r>
                </w:p>
              </w:tc>
              <w:tc>
                <w:tcPr>
                  <w:tcW w:w="2049" w:type="pct"/>
                  <w:vMerge w:val="restar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围堰高1.2m，围堰内地面硬化处理，防渗防腐完善，设有事故切换装置，设有地泵将围堰废水打入事故水池（消防沙、静电接地报警器）</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66"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29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913" w:type="pct"/>
                  <w:tcBorders>
                    <w:tl2br w:val="nil"/>
                    <w:tr2bl w:val="nil"/>
                  </w:tcBorders>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bCs/>
                      <w:sz w:val="21"/>
                      <w:szCs w:val="21"/>
                    </w:rPr>
                    <w:t>三氯化磷储罐</w:t>
                  </w:r>
                </w:p>
              </w:tc>
              <w:tc>
                <w:tcPr>
                  <w:tcW w:w="457" w:type="pct"/>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300m</w:t>
                  </w:r>
                  <w:r>
                    <w:rPr>
                      <w:rFonts w:hint="eastAsia" w:ascii="宋体" w:hAnsi="宋体" w:eastAsia="宋体" w:cs="宋体"/>
                      <w:sz w:val="21"/>
                      <w:szCs w:val="21"/>
                      <w:vertAlign w:val="superscript"/>
                    </w:rPr>
                    <w:t>3</w:t>
                  </w:r>
                </w:p>
              </w:tc>
              <w:tc>
                <w:tcPr>
                  <w:tcW w:w="346" w:type="pct"/>
                  <w:tcBorders>
                    <w:tl2br w:val="nil"/>
                    <w:tr2bl w:val="nil"/>
                  </w:tcBorders>
                  <w:noWrap w:val="0"/>
                  <w:vAlign w:val="center"/>
                </w:tcPr>
                <w:p>
                  <w:pPr>
                    <w:snapToGrid w:val="0"/>
                    <w:jc w:val="center"/>
                    <w:rPr>
                      <w:rFonts w:hint="eastAsia" w:ascii="宋体" w:hAnsi="宋体" w:eastAsia="宋体" w:cs="宋体"/>
                      <w:sz w:val="21"/>
                      <w:szCs w:val="21"/>
                    </w:rPr>
                  </w:pPr>
                  <w:r>
                    <w:rPr>
                      <w:rFonts w:hint="eastAsia" w:ascii="宋体" w:hAnsi="宋体" w:eastAsia="宋体" w:cs="宋体"/>
                      <w:color w:val="000000"/>
                      <w:sz w:val="21"/>
                      <w:szCs w:val="21"/>
                    </w:rPr>
                    <w:t>2</w:t>
                  </w:r>
                </w:p>
              </w:tc>
              <w:tc>
                <w:tcPr>
                  <w:tcW w:w="567" w:type="pct"/>
                  <w:vMerge w:val="restar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1051.9</w:t>
                  </w:r>
                </w:p>
              </w:tc>
              <w:tc>
                <w:tcPr>
                  <w:tcW w:w="2049" w:type="pct"/>
                  <w:vMerge w:val="continue"/>
                  <w:tcBorders>
                    <w:tl2br w:val="nil"/>
                    <w:tr2bl w:val="nil"/>
                  </w:tcBorders>
                  <w:noWrap w:val="0"/>
                  <w:vAlign w:val="center"/>
                </w:tcPr>
                <w:p>
                  <w:pPr>
                    <w:adjustRightInd w:val="0"/>
                    <w:snapToGrid w:val="0"/>
                    <w:spacing w:line="240" w:lineRule="auto"/>
                    <w:ind w:firstLine="360"/>
                    <w:jc w:val="center"/>
                    <w:rPr>
                      <w:rFonts w:hint="eastAsia" w:ascii="宋体" w:hAnsi="宋体" w:eastAsia="宋体" w:cs="宋体"/>
                      <w:sz w:val="21"/>
                      <w:szCs w:val="21"/>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66"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29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913" w:type="pct"/>
                  <w:tcBorders>
                    <w:tl2br w:val="nil"/>
                    <w:tr2bl w:val="nil"/>
                  </w:tcBorders>
                  <w:noWrap w:val="0"/>
                  <w:vAlign w:val="center"/>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bCs/>
                      <w:sz w:val="21"/>
                      <w:szCs w:val="21"/>
                    </w:rPr>
                    <w:t>三氯化磷中间罐</w:t>
                  </w:r>
                </w:p>
              </w:tc>
              <w:tc>
                <w:tcPr>
                  <w:tcW w:w="457" w:type="pct"/>
                  <w:tcBorders>
                    <w:tl2br w:val="nil"/>
                    <w:tr2bl w:val="nil"/>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70m</w:t>
                  </w:r>
                  <w:r>
                    <w:rPr>
                      <w:rFonts w:hint="eastAsia" w:ascii="宋体" w:hAnsi="宋体" w:eastAsia="宋体" w:cs="宋体"/>
                      <w:sz w:val="21"/>
                      <w:szCs w:val="21"/>
                      <w:vertAlign w:val="superscript"/>
                    </w:rPr>
                    <w:t>3</w:t>
                  </w:r>
                </w:p>
              </w:tc>
              <w:tc>
                <w:tcPr>
                  <w:tcW w:w="346" w:type="pct"/>
                  <w:tcBorders>
                    <w:tl2br w:val="nil"/>
                    <w:tr2bl w:val="nil"/>
                  </w:tcBorders>
                  <w:noWrap w:val="0"/>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rPr>
                    <w:t>1</w:t>
                  </w:r>
                </w:p>
              </w:tc>
              <w:tc>
                <w:tcPr>
                  <w:tcW w:w="567"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lang w:val="en-US" w:eastAsia="zh-CN"/>
                    </w:rPr>
                  </w:pPr>
                </w:p>
              </w:tc>
              <w:tc>
                <w:tcPr>
                  <w:tcW w:w="2049" w:type="pct"/>
                  <w:vMerge w:val="continue"/>
                  <w:tcBorders>
                    <w:tl2br w:val="nil"/>
                    <w:tr2bl w:val="nil"/>
                  </w:tcBorders>
                  <w:noWrap w:val="0"/>
                  <w:vAlign w:val="center"/>
                </w:tcPr>
                <w:p>
                  <w:pPr>
                    <w:adjustRightInd w:val="0"/>
                    <w:snapToGrid w:val="0"/>
                    <w:spacing w:line="240" w:lineRule="auto"/>
                    <w:ind w:firstLine="360"/>
                    <w:jc w:val="center"/>
                    <w:rPr>
                      <w:rFonts w:hint="eastAsia" w:ascii="宋体" w:hAnsi="宋体" w:eastAsia="宋体" w:cs="宋体"/>
                      <w:sz w:val="21"/>
                      <w:szCs w:val="21"/>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66"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29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913" w:type="pct"/>
                  <w:tcBorders>
                    <w:tl2br w:val="nil"/>
                    <w:tr2bl w:val="nil"/>
                  </w:tcBorders>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熔磷池</w:t>
                  </w:r>
                </w:p>
              </w:tc>
              <w:tc>
                <w:tcPr>
                  <w:tcW w:w="457" w:type="pct"/>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32</w:t>
                  </w:r>
                  <w:r>
                    <w:rPr>
                      <w:rFonts w:hint="eastAsia" w:ascii="宋体" w:hAnsi="宋体" w:eastAsia="宋体" w:cs="宋体"/>
                      <w:sz w:val="21"/>
                      <w:szCs w:val="21"/>
                    </w:rPr>
                    <w:t>m</w:t>
                  </w:r>
                  <w:r>
                    <w:rPr>
                      <w:rFonts w:hint="eastAsia" w:ascii="宋体" w:hAnsi="宋体" w:eastAsia="宋体" w:cs="宋体"/>
                      <w:sz w:val="21"/>
                      <w:szCs w:val="21"/>
                      <w:vertAlign w:val="superscript"/>
                    </w:rPr>
                    <w:t>3</w:t>
                  </w:r>
                </w:p>
              </w:tc>
              <w:tc>
                <w:tcPr>
                  <w:tcW w:w="346" w:type="pct"/>
                  <w:tcBorders>
                    <w:tl2br w:val="nil"/>
                    <w:tr2bl w:val="nil"/>
                  </w:tcBorders>
                  <w:noWrap w:val="0"/>
                  <w:vAlign w:val="center"/>
                </w:tcPr>
                <w:p>
                  <w:pPr>
                    <w:snapToGrid w:val="0"/>
                    <w:jc w:val="center"/>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1</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p>
              </w:tc>
              <w:tc>
                <w:tcPr>
                  <w:tcW w:w="2049" w:type="pct"/>
                  <w:vMerge w:val="continue"/>
                  <w:tcBorders>
                    <w:tl2br w:val="nil"/>
                    <w:tr2bl w:val="nil"/>
                  </w:tcBorders>
                  <w:noWrap w:val="0"/>
                  <w:vAlign w:val="center"/>
                </w:tcPr>
                <w:p>
                  <w:pPr>
                    <w:adjustRightInd w:val="0"/>
                    <w:snapToGrid w:val="0"/>
                    <w:spacing w:line="240" w:lineRule="auto"/>
                    <w:ind w:firstLine="360"/>
                    <w:jc w:val="center"/>
                    <w:rPr>
                      <w:rFonts w:hint="eastAsia" w:ascii="宋体" w:hAnsi="宋体" w:eastAsia="宋体" w:cs="宋体"/>
                      <w:sz w:val="21"/>
                      <w:szCs w:val="21"/>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66"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29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913" w:type="pct"/>
                  <w:tcBorders>
                    <w:tl2br w:val="nil"/>
                    <w:tr2bl w:val="nil"/>
                  </w:tcBorders>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bCs/>
                      <w:sz w:val="21"/>
                      <w:szCs w:val="21"/>
                    </w:rPr>
                    <w:t>三氯氧磷储罐</w:t>
                  </w:r>
                </w:p>
              </w:tc>
              <w:tc>
                <w:tcPr>
                  <w:tcW w:w="457" w:type="pct"/>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30m</w:t>
                  </w:r>
                  <w:r>
                    <w:rPr>
                      <w:rFonts w:hint="eastAsia" w:ascii="宋体" w:hAnsi="宋体" w:eastAsia="宋体" w:cs="宋体"/>
                      <w:sz w:val="21"/>
                      <w:szCs w:val="21"/>
                      <w:vertAlign w:val="superscript"/>
                    </w:rPr>
                    <w:t>3</w:t>
                  </w:r>
                </w:p>
              </w:tc>
              <w:tc>
                <w:tcPr>
                  <w:tcW w:w="346" w:type="pct"/>
                  <w:tcBorders>
                    <w:tl2br w:val="nil"/>
                    <w:tr2bl w:val="nil"/>
                  </w:tcBorders>
                  <w:noWrap w:val="0"/>
                  <w:vAlign w:val="center"/>
                </w:tcPr>
                <w:p>
                  <w:pPr>
                    <w:snapToGrid w:val="0"/>
                    <w:jc w:val="center"/>
                    <w:rPr>
                      <w:rFonts w:hint="eastAsia" w:ascii="宋体" w:hAnsi="宋体" w:eastAsia="宋体" w:cs="宋体"/>
                      <w:sz w:val="21"/>
                      <w:szCs w:val="21"/>
                    </w:rPr>
                  </w:pPr>
                  <w:r>
                    <w:rPr>
                      <w:rFonts w:hint="eastAsia" w:ascii="宋体" w:hAnsi="宋体" w:eastAsia="宋体" w:cs="宋体"/>
                      <w:color w:val="000000"/>
                      <w:sz w:val="21"/>
                      <w:szCs w:val="21"/>
                    </w:rPr>
                    <w:t>2</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120</w:t>
                  </w:r>
                </w:p>
              </w:tc>
              <w:tc>
                <w:tcPr>
                  <w:tcW w:w="204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66"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29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913" w:type="pct"/>
                  <w:tcBorders>
                    <w:tl2br w:val="nil"/>
                    <w:tr2bl w:val="nil"/>
                  </w:tcBorders>
                  <w:noWrap w:val="0"/>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盐酸储槽</w:t>
                  </w:r>
                </w:p>
              </w:tc>
              <w:tc>
                <w:tcPr>
                  <w:tcW w:w="457" w:type="pct"/>
                  <w:tcBorders>
                    <w:tl2br w:val="nil"/>
                    <w:tr2bl w:val="nil"/>
                  </w:tcBorders>
                  <w:noWrap w:val="0"/>
                  <w:vAlign w:val="center"/>
                </w:tcPr>
                <w:p>
                  <w:pPr>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30</w:t>
                  </w:r>
                  <w:r>
                    <w:rPr>
                      <w:rFonts w:hint="eastAsia" w:ascii="宋体" w:hAnsi="宋体" w:eastAsia="宋体" w:cs="宋体"/>
                      <w:color w:val="000000"/>
                      <w:kern w:val="0"/>
                      <w:sz w:val="21"/>
                      <w:szCs w:val="21"/>
                      <w:lang w:bidi="ar"/>
                    </w:rPr>
                    <w:t>m</w:t>
                  </w:r>
                  <w:r>
                    <w:rPr>
                      <w:rFonts w:hint="eastAsia" w:ascii="宋体" w:hAnsi="宋体" w:eastAsia="宋体" w:cs="宋体"/>
                      <w:sz w:val="21"/>
                      <w:szCs w:val="21"/>
                      <w:vertAlign w:val="superscript"/>
                    </w:rPr>
                    <w:t>3</w:t>
                  </w:r>
                </w:p>
              </w:tc>
              <w:tc>
                <w:tcPr>
                  <w:tcW w:w="346" w:type="pct"/>
                  <w:tcBorders>
                    <w:tl2br w:val="nil"/>
                    <w:tr2bl w:val="nil"/>
                  </w:tcBorders>
                  <w:noWrap w:val="0"/>
                  <w:vAlign w:val="center"/>
                </w:tcPr>
                <w:p>
                  <w:pPr>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2049"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66" w:type="pct"/>
                  <w:gridSpan w:val="2"/>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装卸区</w:t>
                  </w:r>
                </w:p>
              </w:tc>
              <w:tc>
                <w:tcPr>
                  <w:tcW w:w="913"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45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913" w:type="pct"/>
                  <w:gridSpan w:val="2"/>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204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地面硬化处理，装卸区设有导流沟，通过地下污水管进入污水收集池</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66" w:type="pct"/>
                  <w:gridSpan w:val="2"/>
                  <w:vMerge w:val="restar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生产区</w:t>
                  </w:r>
                </w:p>
              </w:tc>
              <w:tc>
                <w:tcPr>
                  <w:tcW w:w="913"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三氯化磷车间</w:t>
                  </w:r>
                </w:p>
              </w:tc>
              <w:tc>
                <w:tcPr>
                  <w:tcW w:w="45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913" w:type="pct"/>
                  <w:gridSpan w:val="2"/>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204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地面硬化处理，周边有收集沟，废水经收集沟收集进入事故水池</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66" w:type="pct"/>
                  <w:gridSpan w:val="2"/>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913"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三氯氧磷车间</w:t>
                  </w:r>
                </w:p>
              </w:tc>
              <w:tc>
                <w:tcPr>
                  <w:tcW w:w="45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913" w:type="pct"/>
                  <w:gridSpan w:val="2"/>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204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地面硬化处理，周边有收集沟，废水经收集沟收集进入事故水池</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66" w:type="pct"/>
                  <w:gridSpan w:val="2"/>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913"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五氯化磷车间</w:t>
                  </w:r>
                </w:p>
              </w:tc>
              <w:tc>
                <w:tcPr>
                  <w:tcW w:w="457"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913" w:type="pct"/>
                  <w:gridSpan w:val="2"/>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204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地面硬化处理，周边有收集沟，废水经收集沟收集进入事故水池</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hint="eastAsia" w:ascii="宋体" w:hAnsi="宋体" w:eastAsia="宋体" w:cs="宋体"/>
                <w:sz w:val="21"/>
                <w:szCs w:val="21"/>
              </w:rPr>
            </w:pPr>
            <w:r>
              <w:rPr>
                <w:rFonts w:hint="eastAsia" w:ascii="宋体" w:hAnsi="宋体" w:eastAsia="宋体" w:cs="宋体"/>
                <w:sz w:val="21"/>
                <w:szCs w:val="21"/>
              </w:rPr>
              <w:t>厂区罐区防渗、防腐及围堰等措施完善；生产区、装卸区地面硬化处理，周边有收集沟，废水可</w:t>
            </w:r>
            <w:r>
              <w:rPr>
                <w:rFonts w:hint="eastAsia" w:ascii="宋体" w:hAnsi="宋体" w:eastAsia="宋体" w:cs="宋体"/>
                <w:sz w:val="21"/>
                <w:szCs w:val="21"/>
                <w:lang w:eastAsia="zh-CN"/>
              </w:rPr>
              <w:t>自流</w:t>
            </w:r>
            <w:r>
              <w:rPr>
                <w:rFonts w:hint="eastAsia" w:ascii="宋体" w:hAnsi="宋体" w:eastAsia="宋体" w:cs="宋体"/>
                <w:sz w:val="21"/>
                <w:szCs w:val="21"/>
              </w:rPr>
              <w:t>至</w:t>
            </w:r>
            <w:r>
              <w:rPr>
                <w:rFonts w:hint="eastAsia" w:ascii="宋体" w:hAnsi="宋体" w:eastAsia="宋体" w:cs="宋体"/>
                <w:sz w:val="21"/>
                <w:szCs w:val="21"/>
                <w:lang w:eastAsia="zh-CN"/>
              </w:rPr>
              <w:t>车间收集</w:t>
            </w:r>
            <w:r>
              <w:rPr>
                <w:rFonts w:hint="eastAsia" w:ascii="宋体" w:hAnsi="宋体" w:eastAsia="宋体" w:cs="宋体"/>
                <w:sz w:val="21"/>
                <w:szCs w:val="21"/>
              </w:rPr>
              <w:t>水池，</w:t>
            </w:r>
            <w:r>
              <w:rPr>
                <w:rFonts w:hint="eastAsia" w:ascii="宋体" w:hAnsi="宋体" w:eastAsia="宋体" w:cs="宋体"/>
                <w:sz w:val="21"/>
                <w:szCs w:val="21"/>
                <w:lang w:eastAsia="zh-CN"/>
              </w:rPr>
              <w:t>然后泵入事故收集水池，</w:t>
            </w:r>
            <w:r>
              <w:rPr>
                <w:rFonts w:hint="eastAsia" w:ascii="宋体" w:hAnsi="宋体" w:eastAsia="宋体" w:cs="宋体"/>
                <w:sz w:val="21"/>
                <w:szCs w:val="21"/>
              </w:rPr>
              <w:t>经污水处理设施处理后进入</w:t>
            </w:r>
            <w:r>
              <w:rPr>
                <w:rFonts w:hint="eastAsia" w:ascii="宋体" w:hAnsi="宋体" w:eastAsia="宋体" w:cs="宋体"/>
                <w:sz w:val="21"/>
                <w:szCs w:val="21"/>
                <w:lang w:eastAsia="zh-CN"/>
              </w:rPr>
              <w:t>徐州工业园区污水处理厂</w:t>
            </w:r>
            <w:r>
              <w:rPr>
                <w:rFonts w:hint="eastAsia" w:ascii="宋体" w:hAnsi="宋体" w:eastAsia="宋体" w:cs="宋体"/>
                <w:sz w:val="21"/>
                <w:szCs w:val="21"/>
              </w:rPr>
              <w:t>，防止进入外环境。</w:t>
            </w:r>
          </w:p>
          <w:p>
            <w:pPr>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hint="eastAsia" w:ascii="宋体" w:hAnsi="宋体" w:eastAsia="宋体" w:cs="宋体"/>
                <w:sz w:val="21"/>
                <w:szCs w:val="21"/>
              </w:rPr>
            </w:pPr>
            <w:r>
              <w:rPr>
                <w:rFonts w:hint="eastAsia" w:ascii="宋体" w:hAnsi="宋体" w:eastAsia="宋体" w:cs="宋体"/>
                <w:sz w:val="21"/>
                <w:szCs w:val="21"/>
              </w:rPr>
              <w:t>厂区罐区围堰内收集的初期雨水，泄漏物，受污染的消防水</w:t>
            </w:r>
            <w:r>
              <w:rPr>
                <w:rFonts w:hint="eastAsia" w:ascii="宋体" w:hAnsi="宋体" w:eastAsia="宋体" w:cs="宋体"/>
                <w:sz w:val="21"/>
                <w:szCs w:val="21"/>
                <w:lang w:eastAsia="zh-CN"/>
              </w:rPr>
              <w:t>不能直接进入事故池的会通过雨水渠进入雨水收集池，也</w:t>
            </w:r>
            <w:r>
              <w:rPr>
                <w:rFonts w:hint="eastAsia" w:ascii="宋体" w:hAnsi="宋体" w:eastAsia="宋体" w:cs="宋体"/>
                <w:sz w:val="21"/>
                <w:szCs w:val="21"/>
              </w:rPr>
              <w:t>能通过地泵进入事故池，保证污水不进入外环境。</w:t>
            </w:r>
          </w:p>
          <w:p>
            <w:pPr>
              <w:pStyle w:val="4"/>
              <w:keepNext/>
              <w:keepLines/>
              <w:pageBreakBefore w:val="0"/>
              <w:widowControl w:val="0"/>
              <w:kinsoku/>
              <w:wordWrap/>
              <w:overflowPunct/>
              <w:topLinePunct w:val="0"/>
              <w:autoSpaceDE/>
              <w:autoSpaceDN/>
              <w:bidi w:val="0"/>
              <w:adjustRightInd w:val="0"/>
              <w:snapToGrid w:val="0"/>
              <w:spacing w:line="500" w:lineRule="exact"/>
              <w:textAlignment w:val="auto"/>
              <w:outlineLvl w:val="2"/>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2、</w:t>
            </w:r>
            <w:r>
              <w:rPr>
                <w:rFonts w:hint="eastAsia" w:ascii="宋体" w:hAnsi="宋体" w:eastAsia="宋体" w:cs="宋体"/>
                <w:b w:val="0"/>
                <w:bCs/>
                <w:sz w:val="21"/>
                <w:szCs w:val="21"/>
              </w:rPr>
              <w:t>事故排水收集措施</w:t>
            </w:r>
          </w:p>
          <w:p>
            <w:pPr>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(1)事故状态下尾水的收集</w:t>
            </w:r>
          </w:p>
          <w:p>
            <w:pPr>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公司设置了火灾、爆炸事故的消防尾水收集系统，排放口与企业内部污水处理厂安装切断设施，一旦发生事故，立即关闭管道阀门，切断雨水排口，打开事故池管道阀门，使厂区内所有事故废水，包括消防水全部汇入事故池。公司</w:t>
            </w:r>
            <w:r>
              <w:rPr>
                <w:rFonts w:hint="eastAsia" w:ascii="宋体" w:hAnsi="宋体" w:eastAsia="宋体" w:cs="宋体"/>
                <w:sz w:val="21"/>
                <w:szCs w:val="21"/>
                <w:lang w:val="en-US" w:eastAsia="zh-CN"/>
              </w:rPr>
              <w:t>设置1个540</w:t>
            </w:r>
            <w:r>
              <w:rPr>
                <w:rFonts w:hint="eastAsia" w:ascii="宋体" w:hAnsi="宋体" w:eastAsia="宋体" w:cs="宋体"/>
                <w:sz w:val="21"/>
                <w:szCs w:val="21"/>
              </w:rPr>
              <w:t xml:space="preserve"> m</w:t>
            </w:r>
            <w:r>
              <w:rPr>
                <w:rFonts w:hint="eastAsia" w:ascii="宋体" w:hAnsi="宋体" w:eastAsia="宋体" w:cs="宋体"/>
                <w:sz w:val="21"/>
                <w:szCs w:val="21"/>
                <w:vertAlign w:val="superscript"/>
              </w:rPr>
              <w:t>3</w:t>
            </w:r>
            <w:r>
              <w:rPr>
                <w:rFonts w:hint="eastAsia" w:ascii="宋体" w:hAnsi="宋体" w:eastAsia="宋体" w:cs="宋体"/>
                <w:sz w:val="21"/>
                <w:szCs w:val="21"/>
              </w:rPr>
              <w:t>事故废水应急池可以满足事故废水暂存需求。</w:t>
            </w:r>
          </w:p>
          <w:p>
            <w:pPr>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(2)液氯罐区事故废水影响分析</w:t>
            </w:r>
          </w:p>
          <w:p>
            <w:pPr>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我公司建设</w:t>
            </w:r>
            <w:r>
              <w:rPr>
                <w:rFonts w:hint="eastAsia" w:ascii="宋体" w:hAnsi="宋体" w:eastAsia="宋体" w:cs="宋体"/>
                <w:color w:val="auto"/>
                <w:sz w:val="21"/>
                <w:szCs w:val="21"/>
                <w:lang w:val="en-US" w:eastAsia="zh-CN"/>
              </w:rPr>
              <w:t>了三个53.5</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液氯储罐，液氯一旦发生泄漏时，采用碱液喷淋处理，我公司液氯储罐设置碱液喷淋装置，并配套建设事故水收集池，用于液氯泄漏时事故废水的收集。</w:t>
            </w:r>
          </w:p>
          <w:p>
            <w:pPr>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(3)水污染环境事件保护目标的应急措施</w:t>
            </w:r>
          </w:p>
          <w:p>
            <w:pPr>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本企业废水排放口下游5000m范围内无饮用水源地，若发生大量超标废水由企业总废水排放口排出时，立即关闭排水口总阀，将超标废水排入厂区事故池，防止超标废水对</w:t>
            </w:r>
            <w:r>
              <w:rPr>
                <w:rFonts w:hint="eastAsia" w:ascii="宋体" w:hAnsi="宋体" w:eastAsia="宋体" w:cs="宋体"/>
                <w:sz w:val="21"/>
                <w:szCs w:val="21"/>
                <w:lang w:eastAsia="zh-CN"/>
              </w:rPr>
              <w:t>徐州工业园区污水处理厂</w:t>
            </w:r>
            <w:r>
              <w:rPr>
                <w:rFonts w:hint="eastAsia" w:ascii="宋体" w:hAnsi="宋体" w:eastAsia="宋体" w:cs="宋体"/>
                <w:sz w:val="21"/>
                <w:szCs w:val="21"/>
              </w:rPr>
              <w:t>水质水量产生冲击。</w:t>
            </w:r>
          </w:p>
          <w:p>
            <w:pPr>
              <w:pStyle w:val="4"/>
              <w:keepNext/>
              <w:keepLines/>
              <w:pageBreakBefore w:val="0"/>
              <w:widowControl w:val="0"/>
              <w:kinsoku/>
              <w:wordWrap/>
              <w:overflowPunct/>
              <w:topLinePunct w:val="0"/>
              <w:autoSpaceDE/>
              <w:autoSpaceDN/>
              <w:bidi w:val="0"/>
              <w:adjustRightInd w:val="0"/>
              <w:snapToGrid w:val="0"/>
              <w:spacing w:line="500" w:lineRule="exact"/>
              <w:textAlignment w:val="auto"/>
              <w:outlineLvl w:val="2"/>
              <w:rPr>
                <w:rFonts w:hint="eastAsia" w:ascii="宋体" w:hAnsi="宋体" w:eastAsia="宋体" w:cs="宋体"/>
                <w:b w:val="0"/>
                <w:bCs/>
                <w:sz w:val="21"/>
                <w:szCs w:val="21"/>
              </w:rPr>
            </w:pPr>
            <w:r>
              <w:rPr>
                <w:rFonts w:hint="eastAsia" w:ascii="宋体" w:hAnsi="宋体" w:eastAsia="宋体" w:cs="宋体"/>
                <w:b w:val="0"/>
                <w:bCs/>
                <w:sz w:val="21"/>
                <w:szCs w:val="21"/>
              </w:rPr>
              <w:t>3雨排水系统防控措施</w:t>
            </w:r>
          </w:p>
          <w:p>
            <w:pPr>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企业雨污分流，</w:t>
            </w:r>
            <w:r>
              <w:rPr>
                <w:rFonts w:hint="eastAsia" w:ascii="宋体" w:hAnsi="宋体" w:eastAsia="宋体" w:cs="宋体"/>
                <w:sz w:val="21"/>
                <w:szCs w:val="21"/>
                <w:lang w:eastAsia="zh-CN"/>
              </w:rPr>
              <w:t>设置</w:t>
            </w:r>
            <w:r>
              <w:rPr>
                <w:rFonts w:hint="eastAsia" w:ascii="宋体" w:hAnsi="宋体" w:eastAsia="宋体" w:cs="宋体"/>
                <w:sz w:val="21"/>
                <w:szCs w:val="21"/>
              </w:rPr>
              <w:t>有单独的雨水</w:t>
            </w:r>
            <w:r>
              <w:rPr>
                <w:rFonts w:hint="eastAsia" w:ascii="宋体" w:hAnsi="宋体" w:eastAsia="宋体" w:cs="宋体"/>
                <w:sz w:val="21"/>
                <w:szCs w:val="21"/>
                <w:lang w:eastAsia="zh-CN"/>
              </w:rPr>
              <w:t>排水</w:t>
            </w:r>
            <w:r>
              <w:rPr>
                <w:rFonts w:hint="eastAsia" w:ascii="宋体" w:hAnsi="宋体" w:eastAsia="宋体" w:cs="宋体"/>
                <w:sz w:val="21"/>
                <w:szCs w:val="21"/>
              </w:rPr>
              <w:t>管网和污水</w:t>
            </w:r>
            <w:r>
              <w:rPr>
                <w:rFonts w:hint="eastAsia" w:ascii="宋体" w:hAnsi="宋体" w:eastAsia="宋体" w:cs="宋体"/>
                <w:sz w:val="21"/>
                <w:szCs w:val="21"/>
                <w:lang w:eastAsia="zh-CN"/>
              </w:rPr>
              <w:t>收集</w:t>
            </w:r>
            <w:r>
              <w:rPr>
                <w:rFonts w:hint="eastAsia" w:ascii="宋体" w:hAnsi="宋体" w:eastAsia="宋体" w:cs="宋体"/>
                <w:sz w:val="21"/>
                <w:szCs w:val="21"/>
              </w:rPr>
              <w:t>管网。生产装置区、罐区、</w:t>
            </w:r>
            <w:r>
              <w:rPr>
                <w:rFonts w:hint="eastAsia" w:ascii="宋体" w:hAnsi="宋体" w:eastAsia="宋体" w:cs="宋体"/>
                <w:sz w:val="21"/>
                <w:szCs w:val="21"/>
                <w:lang w:eastAsia="zh-CN"/>
              </w:rPr>
              <w:t>尾气吸收区、</w:t>
            </w:r>
            <w:r>
              <w:rPr>
                <w:rFonts w:hint="eastAsia" w:ascii="宋体" w:hAnsi="宋体" w:eastAsia="宋体" w:cs="宋体"/>
                <w:sz w:val="21"/>
                <w:szCs w:val="21"/>
              </w:rPr>
              <w:t>污水处理设施等场所，所有的</w:t>
            </w:r>
            <w:r>
              <w:rPr>
                <w:rFonts w:hint="eastAsia" w:ascii="宋体" w:hAnsi="宋体" w:eastAsia="宋体" w:cs="宋体"/>
                <w:sz w:val="21"/>
                <w:szCs w:val="21"/>
                <w:lang w:eastAsia="zh-CN"/>
              </w:rPr>
              <w:t>初期</w:t>
            </w:r>
            <w:r>
              <w:rPr>
                <w:rFonts w:hint="eastAsia" w:ascii="宋体" w:hAnsi="宋体" w:eastAsia="宋体" w:cs="宋体"/>
                <w:sz w:val="21"/>
                <w:szCs w:val="21"/>
              </w:rPr>
              <w:t>雨水均收集进入</w:t>
            </w:r>
            <w:r>
              <w:rPr>
                <w:rFonts w:hint="eastAsia" w:ascii="宋体" w:hAnsi="宋体" w:eastAsia="宋体" w:cs="宋体"/>
                <w:sz w:val="21"/>
                <w:szCs w:val="21"/>
                <w:lang w:eastAsia="zh-CN"/>
              </w:rPr>
              <w:t>初期雨水收集池，再进入污</w:t>
            </w:r>
            <w:r>
              <w:rPr>
                <w:rFonts w:hint="eastAsia" w:ascii="宋体" w:hAnsi="宋体" w:eastAsia="宋体" w:cs="宋体"/>
                <w:sz w:val="21"/>
                <w:szCs w:val="21"/>
              </w:rPr>
              <w:t>水处理系统进行处理</w:t>
            </w:r>
            <w:r>
              <w:rPr>
                <w:rFonts w:hint="eastAsia" w:ascii="宋体" w:hAnsi="宋体" w:eastAsia="宋体" w:cs="宋体"/>
                <w:sz w:val="21"/>
                <w:szCs w:val="21"/>
                <w:lang w:eastAsia="zh-CN"/>
              </w:rPr>
              <w:t>；达到地面水排放标准</w:t>
            </w:r>
            <w:r>
              <w:rPr>
                <w:rFonts w:hint="eastAsia" w:ascii="宋体" w:hAnsi="宋体" w:eastAsia="宋体" w:cs="宋体"/>
                <w:sz w:val="21"/>
                <w:szCs w:val="21"/>
              </w:rPr>
              <w:t>的雨水</w:t>
            </w:r>
            <w:r>
              <w:rPr>
                <w:rFonts w:hint="eastAsia" w:ascii="宋体" w:hAnsi="宋体" w:eastAsia="宋体" w:cs="宋体"/>
                <w:sz w:val="21"/>
                <w:szCs w:val="21"/>
                <w:lang w:eastAsia="zh-CN"/>
              </w:rPr>
              <w:t>才会</w:t>
            </w:r>
            <w:r>
              <w:rPr>
                <w:rFonts w:hint="eastAsia" w:ascii="宋体" w:hAnsi="宋体" w:eastAsia="宋体" w:cs="宋体"/>
                <w:sz w:val="21"/>
                <w:szCs w:val="21"/>
              </w:rPr>
              <w:t>进入市政雨水管网。企业</w:t>
            </w:r>
            <w:r>
              <w:rPr>
                <w:rFonts w:hint="eastAsia" w:ascii="宋体" w:hAnsi="宋体" w:eastAsia="宋体" w:cs="宋体"/>
                <w:sz w:val="21"/>
                <w:szCs w:val="21"/>
                <w:lang w:eastAsia="zh-CN"/>
              </w:rPr>
              <w:t>在雨水排放口</w:t>
            </w:r>
            <w:r>
              <w:rPr>
                <w:rFonts w:hint="eastAsia" w:ascii="宋体" w:hAnsi="宋体" w:eastAsia="宋体" w:cs="宋体"/>
                <w:sz w:val="21"/>
                <w:szCs w:val="21"/>
              </w:rPr>
              <w:t>设置</w:t>
            </w:r>
            <w:r>
              <w:rPr>
                <w:rFonts w:hint="eastAsia" w:ascii="宋体" w:hAnsi="宋体" w:eastAsia="宋体" w:cs="宋体"/>
                <w:sz w:val="21"/>
                <w:szCs w:val="21"/>
                <w:lang w:eastAsia="zh-CN"/>
              </w:rPr>
              <w:t>有</w:t>
            </w:r>
            <w:r>
              <w:rPr>
                <w:rFonts w:hint="eastAsia" w:ascii="宋体" w:hAnsi="宋体" w:eastAsia="宋体" w:cs="宋体"/>
                <w:sz w:val="21"/>
                <w:szCs w:val="21"/>
              </w:rPr>
              <w:t>雨水排放切换阀</w:t>
            </w:r>
            <w:r>
              <w:rPr>
                <w:rFonts w:hint="eastAsia" w:ascii="宋体" w:hAnsi="宋体" w:eastAsia="宋体" w:cs="宋体"/>
                <w:sz w:val="21"/>
                <w:szCs w:val="21"/>
                <w:lang w:eastAsia="zh-CN"/>
              </w:rPr>
              <w:t>、雨水自动监测仪器和雨水排放口摄像头联网至</w:t>
            </w:r>
            <w:r>
              <w:rPr>
                <w:rFonts w:hint="eastAsia" w:ascii="宋体" w:hAnsi="宋体" w:eastAsia="宋体" w:cs="宋体"/>
                <w:sz w:val="21"/>
                <w:szCs w:val="21"/>
                <w:lang w:val="en-US" w:eastAsia="zh-CN"/>
              </w:rPr>
              <w:t>省“一企一档自动监控’系统</w:t>
            </w:r>
            <w:r>
              <w:rPr>
                <w:rFonts w:hint="eastAsia" w:ascii="宋体" w:hAnsi="宋体" w:eastAsia="宋体" w:cs="宋体"/>
                <w:sz w:val="21"/>
                <w:szCs w:val="21"/>
                <w:lang w:eastAsia="zh-CN"/>
              </w:rPr>
              <w:t>，并有专人进行管理，</w:t>
            </w:r>
            <w:r>
              <w:rPr>
                <w:rFonts w:hint="eastAsia" w:ascii="宋体" w:hAnsi="宋体" w:eastAsia="宋体" w:cs="宋体"/>
                <w:sz w:val="21"/>
                <w:szCs w:val="21"/>
              </w:rPr>
              <w:t>可</w:t>
            </w:r>
            <w:r>
              <w:rPr>
                <w:rFonts w:hint="eastAsia" w:ascii="宋体" w:hAnsi="宋体" w:eastAsia="宋体" w:cs="宋体"/>
                <w:sz w:val="21"/>
                <w:szCs w:val="21"/>
                <w:lang w:eastAsia="zh-CN"/>
              </w:rPr>
              <w:t>有效</w:t>
            </w:r>
            <w:r>
              <w:rPr>
                <w:rFonts w:hint="eastAsia" w:ascii="宋体" w:hAnsi="宋体" w:eastAsia="宋体" w:cs="宋体"/>
                <w:sz w:val="21"/>
                <w:szCs w:val="21"/>
              </w:rPr>
              <w:t>防止</w:t>
            </w:r>
            <w:r>
              <w:rPr>
                <w:rFonts w:hint="eastAsia" w:ascii="宋体" w:hAnsi="宋体" w:eastAsia="宋体" w:cs="宋体"/>
                <w:sz w:val="21"/>
                <w:szCs w:val="21"/>
                <w:lang w:eastAsia="zh-CN"/>
              </w:rPr>
              <w:t>不达标的雨水和事故水的</w:t>
            </w:r>
            <w:r>
              <w:rPr>
                <w:rFonts w:hint="eastAsia" w:ascii="宋体" w:hAnsi="宋体" w:eastAsia="宋体" w:cs="宋体"/>
                <w:sz w:val="21"/>
                <w:szCs w:val="21"/>
              </w:rPr>
              <w:t>有害化学物质通过雨水排口进入地表水体。</w:t>
            </w:r>
          </w:p>
          <w:p>
            <w:pPr>
              <w:pStyle w:val="4"/>
              <w:keepNext/>
              <w:keepLines/>
              <w:pageBreakBefore w:val="0"/>
              <w:widowControl w:val="0"/>
              <w:kinsoku/>
              <w:wordWrap/>
              <w:overflowPunct/>
              <w:topLinePunct w:val="0"/>
              <w:autoSpaceDE/>
              <w:autoSpaceDN/>
              <w:bidi w:val="0"/>
              <w:adjustRightInd w:val="0"/>
              <w:snapToGrid w:val="0"/>
              <w:spacing w:line="500" w:lineRule="exact"/>
              <w:textAlignment w:val="auto"/>
              <w:outlineLvl w:val="2"/>
              <w:rPr>
                <w:rFonts w:hint="eastAsia" w:ascii="宋体" w:hAnsi="宋体" w:eastAsia="宋体" w:cs="宋体"/>
                <w:b w:val="0"/>
                <w:bCs/>
                <w:sz w:val="21"/>
                <w:szCs w:val="21"/>
              </w:rPr>
            </w:pPr>
            <w:r>
              <w:rPr>
                <w:rFonts w:hint="eastAsia" w:ascii="宋体" w:hAnsi="宋体" w:eastAsia="宋体" w:cs="宋体"/>
                <w:b w:val="0"/>
                <w:bCs/>
                <w:sz w:val="21"/>
                <w:szCs w:val="21"/>
              </w:rPr>
              <w:t>4生产废水系统防控措施</w:t>
            </w:r>
          </w:p>
          <w:p>
            <w:pPr>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企业生产废水先经厂区内污水处理设施处理后，达到</w:t>
            </w:r>
            <w:r>
              <w:rPr>
                <w:rFonts w:hint="eastAsia" w:ascii="宋体" w:hAnsi="宋体" w:eastAsia="宋体" w:cs="宋体"/>
                <w:sz w:val="21"/>
                <w:szCs w:val="21"/>
                <w:lang w:eastAsia="zh-CN"/>
              </w:rPr>
              <w:t>徐州工业园区污水处理厂</w:t>
            </w:r>
            <w:r>
              <w:rPr>
                <w:rFonts w:hint="eastAsia" w:ascii="宋体" w:hAnsi="宋体" w:eastAsia="宋体" w:cs="宋体"/>
                <w:sz w:val="21"/>
                <w:szCs w:val="21"/>
              </w:rPr>
              <w:t>的接管标准，集中处理排放。企业生产区、罐区等产生的雨水、泄漏物、受污染的消防水等都经污水管网进入厂区内污水处理设施处理后达到接管排放。</w:t>
            </w:r>
          </w:p>
          <w:p>
            <w:pPr>
              <w:pStyle w:val="4"/>
              <w:keepNext/>
              <w:keepLines/>
              <w:pageBreakBefore w:val="0"/>
              <w:widowControl w:val="0"/>
              <w:kinsoku/>
              <w:wordWrap/>
              <w:overflowPunct/>
              <w:topLinePunct w:val="0"/>
              <w:autoSpaceDE/>
              <w:autoSpaceDN/>
              <w:bidi w:val="0"/>
              <w:adjustRightInd w:val="0"/>
              <w:snapToGrid w:val="0"/>
              <w:spacing w:line="500" w:lineRule="exact"/>
              <w:textAlignment w:val="auto"/>
              <w:outlineLvl w:val="2"/>
              <w:rPr>
                <w:rFonts w:hint="eastAsia" w:ascii="宋体" w:hAnsi="宋体" w:eastAsia="宋体" w:cs="宋体"/>
                <w:b w:val="0"/>
                <w:bCs/>
                <w:sz w:val="21"/>
                <w:szCs w:val="21"/>
              </w:rPr>
            </w:pPr>
            <w:r>
              <w:rPr>
                <w:rFonts w:hint="eastAsia" w:ascii="宋体" w:hAnsi="宋体" w:eastAsia="宋体" w:cs="宋体"/>
                <w:b w:val="0"/>
                <w:bCs/>
                <w:sz w:val="21"/>
                <w:szCs w:val="21"/>
              </w:rPr>
              <w:t>5毒性物质泄漏紧急处理措施</w:t>
            </w:r>
          </w:p>
          <w:p>
            <w:pPr>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容器或管线发生泄漏后，公司优先采取局部停车措施，在安全许可的情况下再采取措施修补或堵塞裂口，制止化学品的进一步泄漏。能否成功地进行堵漏取决于几个因素：接近泄漏点的危险程度、泄漏孔的尺寸，泄漏点处实际的或潜在的压力、泄漏物质的特性。常用堵漏方法见下表。</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表2 常用堵漏方法</w:t>
            </w:r>
          </w:p>
          <w:tbl>
            <w:tblPr>
              <w:tblStyle w:val="8"/>
              <w:tblW w:w="4999" w:type="pct"/>
              <w:jc w:val="cente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6"/>
              <w:gridCol w:w="743"/>
              <w:gridCol w:w="8022"/>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部位</w:t>
                  </w: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形式</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方法</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Merge w:val="restar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罐体</w:t>
                  </w: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砂眼</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使用螺丝加粘合剂旋进堵漏</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缝隙</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使用外封式堵漏袋、电磁式堵漏工具组、粘贴式堵漏密封胶（适用于高压）、潮湿绷带冷凝法或堵漏夹具、金属堵漏锥堵漏</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孔洞</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使用各种木器、堵漏夹具、粘贴式堵漏密封胶（适用于高压）、金属堵漏锥堵漏</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裂口</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使用外封式堵漏袋、电磁式堵漏工具组、粘贴式堵漏密封胶（适用于高压）堵漏</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Merge w:val="restar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管道</w:t>
                  </w: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砂眼</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使用螺丝加粘合剂旋进堵漏</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缝隙</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使用外封式堵漏袋、电磁式堵漏工具组、潮湿绷带冷凝法或堵漏夹具、金属堵漏锥堵漏</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孔洞</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使用各种木器、堵漏夹具、粘贴式堵漏密封胶（适用于高压）堵漏</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vMerge w:val="continue"/>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裂口</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使用外封式堵漏袋、电磁式堵漏工具组、粘贴式堵漏密封胶（适用于高压）堵漏</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阀门</w:t>
                  </w: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使用阀门堵漏工具组、注入式堵漏胶、堵漏夹具堵漏</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21"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法兰</w:t>
                  </w:r>
                </w:p>
              </w:tc>
              <w:tc>
                <w:tcPr>
                  <w:tcW w:w="3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4189"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使用专用法兰夹具、注入式堵塞胶堵漏</w:t>
                  </w:r>
                </w:p>
              </w:tc>
            </w:tr>
          </w:tbl>
          <w:p>
            <w:pPr>
              <w:pStyle w:val="4"/>
              <w:adjustRightInd w:val="0"/>
              <w:snapToGrid w:val="0"/>
              <w:spacing w:line="500" w:lineRule="exact"/>
              <w:jc w:val="both"/>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6</w:t>
            </w:r>
            <w:r>
              <w:rPr>
                <w:rFonts w:hint="eastAsia" w:ascii="宋体" w:hAnsi="宋体" w:eastAsia="宋体" w:cs="宋体"/>
                <w:b w:val="0"/>
                <w:bCs/>
                <w:sz w:val="21"/>
                <w:szCs w:val="21"/>
              </w:rPr>
              <w:t>毒性物质泄漏监控预警措施</w:t>
            </w:r>
          </w:p>
          <w:p>
            <w:pPr>
              <w:adjustRightInd w:val="0"/>
              <w:snapToGrid w:val="0"/>
              <w:spacing w:line="500" w:lineRule="exact"/>
              <w:ind w:firstLine="480"/>
              <w:rPr>
                <w:rFonts w:hint="eastAsia" w:ascii="宋体" w:hAnsi="宋体" w:eastAsia="宋体" w:cs="宋体"/>
                <w:sz w:val="21"/>
                <w:szCs w:val="21"/>
              </w:rPr>
            </w:pPr>
            <w:r>
              <w:rPr>
                <w:rFonts w:hint="eastAsia" w:ascii="宋体" w:hAnsi="宋体" w:eastAsia="宋体" w:cs="宋体"/>
                <w:sz w:val="21"/>
                <w:szCs w:val="21"/>
              </w:rPr>
              <w:t>徐州永利精细化工有限公司在各生产、储存、使用危险化学品的场所均设有有毒气体报警器。具体配备情况见表3所示。</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表3 徐州永利精细化工有限公司检测及防护设施一览表</w:t>
            </w:r>
          </w:p>
          <w:tbl>
            <w:tblPr>
              <w:tblStyle w:val="8"/>
              <w:tblW w:w="4998" w:type="pct"/>
              <w:jc w:val="cente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6"/>
              <w:gridCol w:w="2504"/>
              <w:gridCol w:w="4047"/>
              <w:gridCol w:w="946"/>
              <w:gridCol w:w="1126"/>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安装位置</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 量</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责任人</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DCS系统</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中控室</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1套</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梁璐</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SIS系统</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中控室</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1套</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梁璐</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气动气动阀</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三氯化磷车间、三氯氧磷车间、储罐区</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197套</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孙敬先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气动调节阀</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三氯化磷车间、三氯氧磷车间、储罐区</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67套</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孙敬先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温度测量仪表</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三氯化磷车间、三氯氧磷车间、储罐区</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102套</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孙敬先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压力测量仪表</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三氯化磷车间、三氯氧磷车间、储罐区</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166套</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孙敬先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液位测量仪表</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三氯化磷车间、三氯氧磷车间、储罐区</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66套</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孙敬先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监控摄像头</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各车间、各罐区、各道路路口</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88套</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梁璐</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有毒气体检测仪</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三氯化磷车间、三氯氧磷车间、储罐区、</w:t>
                  </w:r>
                  <w:r>
                    <w:rPr>
                      <w:rFonts w:hint="eastAsia" w:ascii="宋体" w:hAnsi="宋体" w:eastAsia="宋体" w:cs="宋体"/>
                      <w:i w:val="0"/>
                      <w:iCs w:val="0"/>
                      <w:color w:val="000000"/>
                      <w:kern w:val="0"/>
                      <w:sz w:val="21"/>
                      <w:szCs w:val="21"/>
                      <w:u w:val="none"/>
                      <w:lang w:val="en-US" w:eastAsia="zh-CN" w:bidi="ar"/>
                    </w:rPr>
                    <w:t>液氯卸车台</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31</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孙敬先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FF0000"/>
                      <w:sz w:val="21"/>
                      <w:szCs w:val="21"/>
                    </w:rPr>
                  </w:pPr>
                  <w:r>
                    <w:rPr>
                      <w:rFonts w:hint="eastAsia" w:ascii="宋体" w:hAnsi="宋体" w:eastAsia="宋体" w:cs="宋体"/>
                      <w:i w:val="0"/>
                      <w:iCs w:val="0"/>
                      <w:color w:val="000000"/>
                      <w:kern w:val="0"/>
                      <w:sz w:val="21"/>
                      <w:szCs w:val="21"/>
                      <w:u w:val="none"/>
                      <w:lang w:val="en-US" w:eastAsia="zh-CN" w:bidi="ar"/>
                    </w:rPr>
                    <w:t>便携式氢气检测仪</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三氯化磷车间、安全部</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赵成祥</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FF0000"/>
                      <w:sz w:val="21"/>
                      <w:szCs w:val="21"/>
                    </w:rPr>
                  </w:pPr>
                  <w:r>
                    <w:rPr>
                      <w:rFonts w:hint="eastAsia" w:ascii="宋体" w:hAnsi="宋体" w:eastAsia="宋体" w:cs="宋体"/>
                      <w:i w:val="0"/>
                      <w:iCs w:val="0"/>
                      <w:color w:val="000000"/>
                      <w:kern w:val="0"/>
                      <w:sz w:val="21"/>
                      <w:szCs w:val="21"/>
                      <w:u w:val="none"/>
                      <w:lang w:val="en-US" w:eastAsia="zh-CN" w:bidi="ar"/>
                    </w:rPr>
                    <w:t>便携式氯化氢检测仪</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三氯化磷车间、安全部</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赵成祥</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FF0000"/>
                      <w:sz w:val="21"/>
                      <w:szCs w:val="21"/>
                    </w:rPr>
                  </w:pPr>
                  <w:r>
                    <w:rPr>
                      <w:rFonts w:hint="eastAsia" w:ascii="宋体" w:hAnsi="宋体" w:eastAsia="宋体" w:cs="宋体"/>
                      <w:i w:val="0"/>
                      <w:iCs w:val="0"/>
                      <w:color w:val="000000"/>
                      <w:kern w:val="0"/>
                      <w:sz w:val="21"/>
                      <w:szCs w:val="21"/>
                      <w:u w:val="none"/>
                      <w:lang w:val="en-US" w:eastAsia="zh-CN" w:bidi="ar"/>
                    </w:rPr>
                    <w:t>便携式氯气检测仪</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三氯化磷车间、</w:t>
                  </w:r>
                  <w:r>
                    <w:rPr>
                      <w:rFonts w:hint="eastAsia" w:ascii="宋体" w:hAnsi="宋体" w:eastAsia="宋体" w:cs="宋体"/>
                      <w:i w:val="0"/>
                      <w:iCs w:val="0"/>
                      <w:color w:val="000000" w:themeColor="text1"/>
                      <w:kern w:val="0"/>
                      <w:sz w:val="21"/>
                      <w:szCs w:val="21"/>
                      <w:u w:val="none"/>
                      <w:lang w:eastAsia="zh-CN" w:bidi="ar"/>
                      <w14:textFill>
                        <w14:solidFill>
                          <w14:schemeClr w14:val="tx1"/>
                        </w14:solidFill>
                      </w14:textFill>
                    </w:rPr>
                    <w:t>液氯罐区</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赵成祥</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FF0000"/>
                      <w:sz w:val="21"/>
                      <w:szCs w:val="21"/>
                    </w:rPr>
                  </w:pPr>
                  <w:r>
                    <w:rPr>
                      <w:rFonts w:hint="eastAsia" w:ascii="宋体" w:hAnsi="宋体" w:eastAsia="宋体" w:cs="宋体"/>
                      <w:i w:val="0"/>
                      <w:iCs w:val="0"/>
                      <w:color w:val="000000"/>
                      <w:kern w:val="0"/>
                      <w:sz w:val="21"/>
                      <w:szCs w:val="21"/>
                      <w:u w:val="none"/>
                      <w:lang w:val="en-US" w:eastAsia="zh-CN" w:bidi="ar"/>
                    </w:rPr>
                    <w:t>便携式有毒气体检测卡</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气防点</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赵成祥</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事故池</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厂区中部北侧</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张兆书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130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初期雨水收集池</w:t>
                  </w:r>
                </w:p>
              </w:tc>
              <w:tc>
                <w:tcPr>
                  <w:tcW w:w="211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东南</w:t>
                  </w:r>
                </w:p>
              </w:tc>
              <w:tc>
                <w:tcPr>
                  <w:tcW w:w="494"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588" w:type="pct"/>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韩世强</w:t>
                  </w:r>
                </w:p>
              </w:tc>
            </w:tr>
          </w:tbl>
          <w:p>
            <w:pPr>
              <w:adjustRightInd w:val="0"/>
              <w:snapToGrid w:val="0"/>
              <w:spacing w:line="500" w:lineRule="exact"/>
              <w:jc w:val="left"/>
              <w:rPr>
                <w:rFonts w:hint="eastAsia" w:ascii="宋体" w:hAnsi="宋体" w:eastAsia="宋体" w:cs="宋体"/>
                <w:b w:val="0"/>
                <w:bCs w:val="0"/>
                <w:color w:val="000000" w:themeColor="text1"/>
                <w:kern w:val="1"/>
                <w:sz w:val="21"/>
                <w:szCs w:val="21"/>
                <w:lang w:val="en-US" w:eastAsia="zh-CN"/>
                <w14:textFill>
                  <w14:solidFill>
                    <w14:schemeClr w14:val="tx1"/>
                  </w14:solidFill>
                </w14:textFill>
              </w:rPr>
            </w:pPr>
            <w:bookmarkStart w:id="17" w:name="_Toc277504502"/>
            <w:bookmarkStart w:id="18" w:name="_Toc237167785"/>
            <w:bookmarkStart w:id="19" w:name="_Toc246834614"/>
            <w:bookmarkStart w:id="20" w:name="_Toc277504381"/>
            <w:r>
              <w:rPr>
                <w:rFonts w:hint="eastAsia" w:ascii="宋体" w:hAnsi="宋体" w:eastAsia="宋体" w:cs="宋体"/>
                <w:b w:val="0"/>
                <w:bCs w:val="0"/>
                <w:color w:val="000000" w:themeColor="text1"/>
                <w:kern w:val="1"/>
                <w:sz w:val="21"/>
                <w:szCs w:val="21"/>
                <w:lang w:val="en-US" w:eastAsia="zh-CN"/>
                <w14:textFill>
                  <w14:solidFill>
                    <w14:schemeClr w14:val="tx1"/>
                  </w14:solidFill>
                </w14:textFill>
              </w:rPr>
              <w:t>7、</w:t>
            </w:r>
            <w:r>
              <w:rPr>
                <w:rFonts w:hint="eastAsia" w:ascii="宋体" w:hAnsi="宋体" w:eastAsia="宋体" w:cs="宋体"/>
                <w:b w:val="0"/>
                <w:bCs w:val="0"/>
                <w:color w:val="000000" w:themeColor="text1"/>
                <w:kern w:val="0"/>
                <w:sz w:val="21"/>
                <w:szCs w:val="21"/>
                <w14:textFill>
                  <w14:solidFill>
                    <w14:schemeClr w14:val="tx1"/>
                  </w14:solidFill>
                </w14:textFill>
              </w:rPr>
              <w:t>厂内危险废物环境管理</w:t>
            </w:r>
          </w:p>
          <w:bookmarkEnd w:id="17"/>
          <w:bookmarkEnd w:id="18"/>
          <w:bookmarkEnd w:id="19"/>
          <w:bookmarkEnd w:id="20"/>
          <w:p>
            <w:pPr>
              <w:ind w:firstLine="210" w:firstLineChars="100"/>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（1）公司</w:t>
            </w:r>
            <w:r>
              <w:rPr>
                <w:rFonts w:hint="eastAsia" w:ascii="宋体" w:hAnsi="宋体" w:eastAsia="宋体" w:cs="宋体"/>
                <w:kern w:val="0"/>
                <w:sz w:val="21"/>
                <w:szCs w:val="21"/>
              </w:rPr>
              <w:t>危废库建设较规范，按照《省生态环境厅关于进一步加强危险废物污染防治工作的实施意见》（苏环办〔2019〕327号）及《省生态环境厅关于印发江苏省危险废物贮存规范化管理专项整治行动方案的通知》（苏环办〔2019〕149号）的要求执行。已根据危险废物的种类和特性进行分区、分类贮存 ,设置防雨、 防火、防雷、防扬散、防渗漏</w:t>
            </w:r>
            <w:r>
              <w:rPr>
                <w:rFonts w:hint="eastAsia" w:ascii="宋体" w:hAnsi="宋体" w:eastAsia="宋体" w:cs="宋体"/>
                <w:sz w:val="21"/>
                <w:szCs w:val="21"/>
              </w:rPr>
              <w:t>装置及泄漏液体收集装置。</w:t>
            </w:r>
            <w:r>
              <w:rPr>
                <w:rFonts w:hint="eastAsia" w:ascii="宋体" w:hAnsi="宋体" w:eastAsia="宋体" w:cs="宋体"/>
                <w:kern w:val="0"/>
                <w:sz w:val="21"/>
                <w:szCs w:val="21"/>
              </w:rPr>
              <w:t>环境保护图形标志和</w:t>
            </w:r>
            <w:r>
              <w:rPr>
                <w:rFonts w:hint="eastAsia" w:ascii="宋体" w:hAnsi="宋体" w:eastAsia="宋体" w:cs="宋体"/>
                <w:sz w:val="21"/>
                <w:szCs w:val="21"/>
              </w:rPr>
              <w:t>危险废物识别标识设置较规范，并配备通讯、照明设施和消防设施；</w:t>
            </w:r>
            <w:r>
              <w:rPr>
                <w:rFonts w:hint="eastAsia" w:ascii="宋体" w:hAnsi="宋体" w:eastAsia="宋体" w:cs="宋体"/>
                <w:kern w:val="0"/>
                <w:sz w:val="21"/>
                <w:szCs w:val="21"/>
              </w:rPr>
              <w:t>在出入口、 设施内部、危险废物运输车辆通道等关键位置按照危险废物贮存设施 视频监控布设要求设置了视频监控 , 并与中控室联网。</w:t>
            </w:r>
          </w:p>
          <w:p>
            <w:pPr>
              <w:ind w:firstLine="210" w:firstLineChars="100"/>
              <w:rPr>
                <w:rFonts w:hint="eastAsia" w:ascii="宋体" w:hAnsi="宋体" w:eastAsia="宋体" w:cs="宋体"/>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2）危废入库前进行</w:t>
            </w:r>
            <w:r>
              <w:rPr>
                <w:rFonts w:hint="eastAsia" w:ascii="宋体" w:hAnsi="宋体" w:eastAsia="宋体" w:cs="宋体"/>
                <w:kern w:val="0"/>
                <w:sz w:val="21"/>
                <w:szCs w:val="21"/>
              </w:rPr>
              <w:t>预处理</w:t>
            </w:r>
            <w:r>
              <w:rPr>
                <w:rFonts w:hint="eastAsia" w:ascii="宋体" w:hAnsi="宋体" w:eastAsia="宋体" w:cs="宋体"/>
                <w:kern w:val="0"/>
                <w:sz w:val="21"/>
                <w:szCs w:val="21"/>
                <w:lang w:eastAsia="zh-CN"/>
              </w:rPr>
              <w:t>，</w:t>
            </w:r>
            <w:r>
              <w:rPr>
                <w:rFonts w:hint="eastAsia" w:ascii="宋体" w:hAnsi="宋体" w:eastAsia="宋体" w:cs="宋体"/>
                <w:sz w:val="21"/>
                <w:szCs w:val="21"/>
              </w:rPr>
              <w:t>清釜残渣</w:t>
            </w:r>
            <w:r>
              <w:rPr>
                <w:rFonts w:hint="eastAsia" w:ascii="宋体" w:hAnsi="宋体" w:eastAsia="宋体" w:cs="宋体"/>
                <w:kern w:val="0"/>
                <w:sz w:val="21"/>
                <w:szCs w:val="21"/>
              </w:rPr>
              <w:t>为含有磷的残余物，易燃风险较低，且</w:t>
            </w:r>
            <w:r>
              <w:rPr>
                <w:rFonts w:hint="eastAsia" w:ascii="宋体" w:hAnsi="宋体" w:eastAsia="宋体" w:cs="宋体"/>
                <w:sz w:val="21"/>
                <w:szCs w:val="21"/>
              </w:rPr>
              <w:t>清釜残渣均用桶装并水封，极大地降低了风险。危废库装有警示标识和各种标牌，出入库记录，应急物资等，室外设有专用的尾气吸收处理装置。</w:t>
            </w:r>
          </w:p>
          <w:p>
            <w:pPr>
              <w:spacing w:line="24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8、现有应急物资与装备、救援队伍情况</w:t>
            </w:r>
          </w:p>
          <w:p>
            <w:pPr>
              <w:spacing w:line="240" w:lineRule="auto"/>
              <w:ind w:firstLine="420" w:firstLineChars="200"/>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t>公司组建了突发环境事件应急领导小组，全面负责突发环境事件的应急工作，</w:t>
            </w:r>
            <w:r>
              <w:rPr>
                <w:rFonts w:hint="eastAsia" w:asciiTheme="minorEastAsia" w:hAnsiTheme="minorEastAsia" w:eastAsiaTheme="minorEastAsia" w:cstheme="minorEastAsia"/>
                <w:sz w:val="21"/>
                <w:szCs w:val="21"/>
              </w:rPr>
              <w:t>根据《危险化学品单位应急救援物资配备要求》（GB30077-2013）和专家建议，</w:t>
            </w:r>
            <w:r>
              <w:rPr>
                <w:rFonts w:hint="eastAsia" w:asciiTheme="minorEastAsia" w:hAnsiTheme="minorEastAsia" w:eastAsiaTheme="minorEastAsia" w:cstheme="minorEastAsia"/>
                <w:sz w:val="21"/>
                <w:szCs w:val="21"/>
                <w:lang w:val="en-US" w:eastAsia="zh-CN"/>
              </w:rPr>
              <w:t>配备了应急物资</w:t>
            </w:r>
            <w:r>
              <w:rPr>
                <w:rFonts w:hint="eastAsia" w:asciiTheme="minorEastAsia" w:hAnsiTheme="minorEastAsia" w:cstheme="minorEastAsia"/>
                <w:sz w:val="21"/>
                <w:szCs w:val="21"/>
                <w:lang w:val="en-US" w:eastAsia="zh-CN"/>
              </w:rPr>
              <w:t>。</w:t>
            </w:r>
          </w:p>
          <w:bookmarkEnd w:id="15"/>
          <w:bookmarkEnd w:id="16"/>
          <w:p>
            <w:pPr>
              <w:spacing w:line="240" w:lineRule="auto"/>
              <w:rPr>
                <w:rFonts w:hint="eastAsia" w:ascii="宋体" w:hAnsi="宋体" w:eastAsia="宋体" w:cs="宋体"/>
                <w:sz w:val="21"/>
                <w:szCs w:val="21"/>
                <w:lang w:val="en-US" w:eastAsia="zh-CN"/>
              </w:rPr>
            </w:pPr>
          </w:p>
          <w:p>
            <w:pPr>
              <w:pStyle w:val="2"/>
              <w:numPr>
                <w:ilvl w:val="0"/>
                <w:numId w:val="2"/>
              </w:numPr>
              <w:adjustRightInd w:val="0"/>
              <w:snapToGrid w:val="0"/>
              <w:spacing w:before="0"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突发事件应急预案</w:t>
            </w:r>
          </w:p>
          <w:p>
            <w:pPr>
              <w:pStyle w:val="2"/>
              <w:numPr>
                <w:ilvl w:val="0"/>
                <w:numId w:val="0"/>
              </w:numPr>
              <w:adjustRightInd w:val="0"/>
              <w:snapToGrid w:val="0"/>
              <w:spacing w:before="0" w:after="0" w:line="360" w:lineRule="auto"/>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rPr>
              <w:t>1、</w:t>
            </w:r>
            <w:r>
              <w:rPr>
                <w:rFonts w:hint="eastAsia" w:ascii="宋体" w:hAnsi="宋体" w:eastAsia="宋体" w:cs="宋体"/>
                <w:b/>
                <w:bCs w:val="0"/>
                <w:color w:val="auto"/>
                <w:kern w:val="0"/>
                <w:sz w:val="21"/>
                <w:szCs w:val="21"/>
              </w:rPr>
              <w:t>火灾爆炸事故</w:t>
            </w:r>
          </w:p>
          <w:p>
            <w:pPr>
              <w:pStyle w:val="4"/>
              <w:spacing w:before="0" w:after="0" w:line="360" w:lineRule="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灭火对策</w:t>
            </w:r>
            <w:r>
              <w:rPr>
                <w:rFonts w:hint="eastAsia" w:asciiTheme="minorEastAsia" w:hAnsiTheme="minorEastAsia" w:cstheme="minorEastAsia"/>
                <w:b w:val="0"/>
                <w:bCs/>
                <w:color w:val="auto"/>
                <w:sz w:val="21"/>
                <w:szCs w:val="21"/>
                <w:lang w:eastAsia="zh-CN"/>
              </w:rPr>
              <w:t>：</w:t>
            </w:r>
            <w:r>
              <w:rPr>
                <w:rFonts w:hint="eastAsia" w:asciiTheme="minorEastAsia" w:hAnsiTheme="minorEastAsia" w:eastAsiaTheme="minorEastAsia" w:cstheme="minorEastAsia"/>
                <w:b w:val="0"/>
                <w:bCs/>
                <w:color w:val="auto"/>
                <w:sz w:val="21"/>
                <w:szCs w:val="21"/>
              </w:rPr>
              <w:t>（1）指挥现场人员立即切断相应的电源和物料输送阀门；</w:t>
            </w:r>
          </w:p>
          <w:p>
            <w:pPr>
              <w:adjustRightInd w:val="0"/>
              <w:snapToGrid w:val="0"/>
              <w:spacing w:line="360" w:lineRule="auto"/>
              <w:ind w:firstLine="903" w:firstLineChars="43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（2）将装置附近所有的安全出口通道门打开进行人员和物资疏散。</w:t>
            </w:r>
          </w:p>
          <w:p>
            <w:pPr>
              <w:adjustRightInd w:val="0"/>
              <w:snapToGrid w:val="0"/>
              <w:spacing w:line="360" w:lineRule="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cstheme="minorEastAsia"/>
                <w:color w:val="auto"/>
                <w:sz w:val="21"/>
                <w:szCs w:val="21"/>
                <w:lang w:val="en-US" w:eastAsia="zh-CN"/>
              </w:rPr>
              <w:t>发生火灾后</w:t>
            </w:r>
            <w:r>
              <w:rPr>
                <w:rFonts w:hint="eastAsia" w:asciiTheme="minorEastAsia" w:hAnsiTheme="minorEastAsia" w:eastAsiaTheme="minorEastAsia" w:cstheme="minorEastAsia"/>
                <w:color w:val="auto"/>
                <w:sz w:val="21"/>
                <w:szCs w:val="21"/>
              </w:rPr>
              <w:t>首先判断发生火灾的物质，根据物质的不同选用不同的处置措施</w:t>
            </w:r>
            <w:r>
              <w:rPr>
                <w:rFonts w:hint="eastAsia" w:asciiTheme="minorEastAsia" w:hAnsiTheme="minorEastAsia" w:cstheme="minorEastAsia"/>
                <w:color w:val="auto"/>
                <w:sz w:val="21"/>
                <w:szCs w:val="21"/>
                <w:lang w:eastAsia="zh-CN"/>
              </w:rPr>
              <w:t>。</w:t>
            </w:r>
          </w:p>
          <w:p>
            <w:pPr>
              <w:adjustRightInd w:val="0"/>
              <w:snapToGrid w:val="0"/>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黄磷火灾</w:t>
            </w:r>
            <w:r>
              <w:rPr>
                <w:rFonts w:hint="eastAsia" w:asciiTheme="minorEastAsia" w:hAnsi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黄磷泄漏后发生火灾事故，用雾状水灭火，但必须在注意防止飞溅，也可用沙土或泥土覆盖，待火熄和磷固化为止，并用湿砂覆盖，以免复燃。消防人员必须穿戴橡胶衣、裤、胶靴，并戴防毒面具。黄磷被水扑灭后只是暂时熄灭，残留黄磷待水分挥发后又会自然，所以现场应有专人密切观察，同时扑救时应穿防护服，戴防毒面具。</w:t>
            </w:r>
          </w:p>
          <w:p>
            <w:pPr>
              <w:spacing w:line="24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rPr>
              <w:t>注意事项</w:t>
            </w:r>
            <w:r>
              <w:rPr>
                <w:rFonts w:hint="eastAsia" w:asciiTheme="minorEastAsia" w:hAnsiTheme="minorEastAsia" w:cstheme="minorEastAsia"/>
                <w:color w:val="auto"/>
                <w:sz w:val="21"/>
                <w:szCs w:val="21"/>
                <w:lang w:eastAsia="zh-CN"/>
              </w:rPr>
              <w:t>：</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（1）佩戴个人防护器具方面的注意事项</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进入警戒区内的人员必须佩戴呼吸器及防静电服。没有穿戴相应防护器具的人员严禁参加抢险行动。</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防护器具应佩戴正确，切不可因干、热感觉私自取下防护器具；佩戴防护器具撤离时，要匀速行走，保持呼吸均匀，严禁狂奔和取下面具或通过面具讲话。</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（2）使用抢险救援器材方面的注意事项</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应正确使用抢险救援器材，不得冒险和蛮干，在抢险过程中使用过的工具应集中进行洗消处理。</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（3）采取救援对策或措施方面的注意事项</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事故处理要严格按规定程序进行操作，严禁随意改动，如需改动，需上报总指挥批准。</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（4）现场自救和互救注意事项</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现场人员以及受威胁区域的人员，在发生事故后应根据灾情和现场情况，在保证自身安全的前提下，采取积极有效的方法和措施进行自救和互救。现场不具备抢救条件的应尽快组织撤离；救援措施必须符合现场实际，并具有相应的可操作性。</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在自救或互救时，必须保持统一的指挥和严密的组织，严禁冒险蛮干和惊慌失措，严禁各行其是和单独行动；同时要采取防止现场条件恶化和保障抢险人员的安全措施，特别要提高警惕，避免衍生事故的发生，避免自救和互救的不协调。</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（5）现场应急处置能力确认和人员安全防护等事项</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现场要安排经验丰富的技术力量、老员工进行应急处置，特殊作业要落实安全防护措施。</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（6）应急救援结束后的注意事项</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做好现场检查、人员清点等工作；认真分析事故原因，制定防范措施，落实安全生产责任制，防止类似事故发生。</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（7）其他需要特别警示的事项</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要注意观察风向、地形，从上风或侧上风接近泄漏点。在若无法有效控制泄漏，抢险人员需立刻撤离现场等待外部应急救险机构处置。</w:t>
            </w:r>
          </w:p>
          <w:p>
            <w:pPr>
              <w:numPr>
                <w:ilvl w:val="0"/>
                <w:numId w:val="3"/>
              </w:numPr>
              <w:spacing w:line="240" w:lineRule="auto"/>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rPr>
              <w:t>泄漏事故专项应急</w:t>
            </w:r>
          </w:p>
          <w:p>
            <w:pPr>
              <w:numPr>
                <w:ilvl w:val="0"/>
                <w:numId w:val="0"/>
              </w:numPr>
              <w:spacing w:line="240" w:lineRule="auto"/>
              <w:rPr>
                <w:rFonts w:hint="eastAsia" w:asciiTheme="minorEastAsia" w:hAnsiTheme="minorEastAsia" w:eastAsiaTheme="minorEastAsia" w:cstheme="minorEastAsia"/>
                <w:b/>
                <w:bCs/>
                <w:color w:val="auto"/>
                <w:kern w:val="0"/>
                <w:sz w:val="21"/>
                <w:szCs w:val="21"/>
              </w:rPr>
            </w:pPr>
          </w:p>
          <w:p>
            <w:pPr>
              <w:pStyle w:val="3"/>
              <w:numPr>
                <w:ilvl w:val="1"/>
                <w:numId w:val="0"/>
              </w:numPr>
              <w:adjustRightInd w:val="0"/>
              <w:snapToGrid w:val="0"/>
              <w:spacing w:before="0" w:after="0" w:line="240" w:lineRule="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应急处置程序</w:t>
            </w:r>
            <w:r>
              <w:rPr>
                <w:rFonts w:hint="eastAsia" w:eastAsia="宋体" w:cs="宋体"/>
                <w:b/>
                <w:bCs/>
                <w:color w:val="auto"/>
                <w:sz w:val="21"/>
                <w:szCs w:val="21"/>
                <w:lang w:eastAsia="zh-CN"/>
              </w:rPr>
              <w:t>：</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（1）事故第一发现人立即以大声呼叫或利用对讲机方式向现场人员报警，并马上通知班组长，报告事故发生地点、种类、事故危害程度等。</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（2）班组长接报后立即报告车间主任，并迅速赶赴现场，组织协调处理事故，并宣布启动事故现场处置方案，按事故现场处置方案及相关程序、方法组织事故应急救援。</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（3）当事故有扩大趋势或无法有效处置事故时，由车间主任报告公司总指挥部，总指挥应根据公司应急预案立即启动公司级响应。</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（4）当发生火灾爆炸事故时，立即停止一切生产运行，并执行《火灾爆炸现场处置方案》。</w:t>
            </w:r>
          </w:p>
          <w:p>
            <w:pPr>
              <w:numPr>
                <w:ilvl w:val="0"/>
                <w:numId w:val="0"/>
              </w:numPr>
              <w:spacing w:line="240" w:lineRule="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应急处置措施</w:t>
            </w:r>
            <w:r>
              <w:rPr>
                <w:rFonts w:hint="eastAsia" w:ascii="宋体" w:hAnsi="宋体" w:eastAsia="宋体" w:cs="宋体"/>
                <w:b/>
                <w:bCs/>
                <w:color w:val="auto"/>
                <w:sz w:val="21"/>
                <w:szCs w:val="21"/>
                <w:lang w:eastAsia="zh-CN"/>
              </w:rPr>
              <w:t>：</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1）防护</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①根据泄漏液体的特性及划定的危险区域，确定相应的防护服。针对液氯的泄漏，应穿戴气密性防护服；对于三氯化磷等液体的泄漏，应穿戴液密性防护服；</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（2）查明情况</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①遇险人员情况。②容器储量、泄漏量、泄漏时间、部位、扩散范围。③周边居民、地形、电源、火源等情况。④单位的消防组织与设施。⑤工艺措施、到场人员处置意见。</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（3）侦检</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搜寻遇险人员。②使用检测仪器测定泄漏物质、蒸气浓度、扩散范围。③确认设施、建(构)筑物险情及可能引发爆炸燃烧的各种危险源。④确认消防设施运行情况。⑤确定攻防路线、阵地。⑥现场及周边污染情况。</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（4）警戒</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根据询情、侦检情况确定警戒区域。②将警戒区域划分为重危区、中危区、轻危区和安全区，并设立警戒标志，在安全区视情况设立隔离带。③合理设置出入口，严格控制各区域进出人员、车辆物质，并进行安全检查，逐一登记。</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（5）抢险</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①组成应急救援小组，携带救生器材迅速进入危险区域。②采取正确的救助方式，将所有遇险人员转移至安全区域。③对救出人员进行登记、标识和现场急救。④将需要救治人员送医疗急救部门救治。</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（6）控险</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启用单位喷淋等固定、半固定消防设施。②选定水源，铺设水带，设置阵地，有序展开。③外围设置水幕或屏封水枪，稀释、降解泄漏物蒸气浓度或设置蒸气幕。④用干沙土、水泥粉、煤灰等围堵或导流，防止泄漏物向重要目标或危险源流散。⑤视情况使用移动式泡沫管枪(炮)或高倍数泡沫发生器喷射泡沫，充分覆盖泄漏液面。</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（7）堵漏</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根据现场泄漏情况，研究制定堵漏方案，并严格按照堵漏方案实施。②若易燃液体泄漏，所有堵漏行动必须采取防爆措施，确保安全。③关闭前置阀门，切断泄漏源。④根据泄漏对象，对非溶于水且比水轻的易燃液体，可向罐内适量注水，抬高液位，形成水垫层，缓解险情，配合堵漏。⑤堵漏方法，见表</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p>
          <w:p>
            <w:pPr>
              <w:pStyle w:val="6"/>
              <w:spacing w:line="240" w:lineRule="auto"/>
              <w:ind w:firstLine="0" w:firstLineChars="0"/>
              <w:jc w:val="center"/>
              <w:rPr>
                <w:rFonts w:hint="eastAsia" w:ascii="宋体" w:hAnsi="宋体" w:eastAsia="宋体" w:cs="宋体"/>
                <w:b w:val="0"/>
                <w:bCs w:val="0"/>
                <w:kern w:val="1"/>
                <w:sz w:val="21"/>
                <w:szCs w:val="21"/>
              </w:rPr>
            </w:pPr>
            <w:r>
              <w:rPr>
                <w:rFonts w:hint="eastAsia" w:ascii="宋体" w:hAnsi="宋体" w:eastAsia="宋体" w:cs="宋体"/>
                <w:b w:val="0"/>
                <w:bCs w:val="0"/>
                <w:kern w:val="1"/>
                <w:sz w:val="21"/>
                <w:szCs w:val="21"/>
                <w:lang w:val="en-US" w:eastAsia="zh-CN"/>
              </w:rPr>
              <w:t xml:space="preserve">表4  </w:t>
            </w:r>
            <w:r>
              <w:rPr>
                <w:rFonts w:hint="eastAsia" w:ascii="宋体" w:hAnsi="宋体" w:eastAsia="宋体" w:cs="宋体"/>
                <w:b w:val="0"/>
                <w:bCs w:val="0"/>
                <w:kern w:val="1"/>
                <w:sz w:val="21"/>
                <w:szCs w:val="21"/>
              </w:rPr>
              <w:t>堵漏方法信息表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1140"/>
              <w:gridCol w:w="1726"/>
              <w:gridCol w:w="6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blHeader/>
              </w:trPr>
              <w:tc>
                <w:tcPr>
                  <w:tcW w:w="1140" w:type="dxa"/>
                  <w:tcBorders>
                    <w:tl2br w:val="nil"/>
                    <w:tr2bl w:val="nil"/>
                  </w:tcBorders>
                  <w:noWrap w:val="0"/>
                  <w:vAlign w:val="top"/>
                </w:tcPr>
                <w:p>
                  <w:pPr>
                    <w:spacing w:line="240" w:lineRule="auto"/>
                    <w:jc w:val="center"/>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部位</w:t>
                  </w:r>
                </w:p>
              </w:tc>
              <w:tc>
                <w:tcPr>
                  <w:tcW w:w="1726" w:type="dxa"/>
                  <w:tcBorders>
                    <w:tl2br w:val="nil"/>
                    <w:tr2bl w:val="nil"/>
                  </w:tcBorders>
                  <w:noWrap w:val="0"/>
                  <w:vAlign w:val="top"/>
                </w:tcPr>
                <w:p>
                  <w:pPr>
                    <w:spacing w:line="240" w:lineRule="auto"/>
                    <w:jc w:val="center"/>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形式</w:t>
                  </w:r>
                </w:p>
              </w:tc>
              <w:tc>
                <w:tcPr>
                  <w:tcW w:w="6250" w:type="dxa"/>
                  <w:tcBorders>
                    <w:tl2br w:val="nil"/>
                    <w:tr2bl w:val="nil"/>
                  </w:tcBorders>
                  <w:noWrap w:val="0"/>
                  <w:vAlign w:val="top"/>
                </w:tcPr>
                <w:p>
                  <w:pPr>
                    <w:spacing w:line="240" w:lineRule="auto"/>
                    <w:jc w:val="center"/>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vMerge w:val="restart"/>
                  <w:tcBorders>
                    <w:tl2br w:val="nil"/>
                    <w:tr2bl w:val="nil"/>
                  </w:tcBorders>
                  <w:noWrap w:val="0"/>
                  <w:vAlign w:val="center"/>
                </w:tcPr>
                <w:p>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罐体</w:t>
                  </w:r>
                </w:p>
              </w:tc>
              <w:tc>
                <w:tcPr>
                  <w:tcW w:w="1726"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砂眼</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使用螺丝加黏合剂旋进堵漏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vMerge w:val="continue"/>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p>
              </w:tc>
              <w:tc>
                <w:tcPr>
                  <w:tcW w:w="1726"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缝隙</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使用外封式堵漏袋、电磁式堵漏工具组、粘贴式堵漏密封胶(适用于高压)、潮湿绷带冷凝法或堵漏夹具、金属堵漏锥堵漏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vMerge w:val="continue"/>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p>
              </w:tc>
              <w:tc>
                <w:tcPr>
                  <w:tcW w:w="1726"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孔洞</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使用各种木楔、堵漏夹具、粘贴式堵漏密封胶(适用于高压)、金属堵漏锥堵漏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vMerge w:val="continue"/>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p>
              </w:tc>
              <w:tc>
                <w:tcPr>
                  <w:tcW w:w="1726"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裂口</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使用外封式堵漏袋、电磁式堵漏工具组、粘贴式堵漏密封胶(适用于高压)堵漏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vMerge w:val="restart"/>
                  <w:tcBorders>
                    <w:tl2br w:val="nil"/>
                    <w:tr2bl w:val="nil"/>
                  </w:tcBorders>
                  <w:noWrap w:val="0"/>
                  <w:vAlign w:val="center"/>
                </w:tcPr>
                <w:p>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管道</w:t>
                  </w:r>
                </w:p>
              </w:tc>
              <w:tc>
                <w:tcPr>
                  <w:tcW w:w="1726"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砂眼</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使用螺丝加黏合剂旋进堵漏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vMerge w:val="continue"/>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p>
              </w:tc>
              <w:tc>
                <w:tcPr>
                  <w:tcW w:w="1726"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缝隙</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使用外封式堵漏袋、金属封堵套管、电磁式堵漏工具组、潮湿绷带冷凝法或堵漏夹具堵漏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vMerge w:val="continue"/>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p>
              </w:tc>
              <w:tc>
                <w:tcPr>
                  <w:tcW w:w="1726"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孔洞</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使用各种木楔、堵漏夹具、粘贴式堵漏密封胶(适用于高压)堵漏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vMerge w:val="continue"/>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p>
              </w:tc>
              <w:tc>
                <w:tcPr>
                  <w:tcW w:w="1726"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裂口</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使用外封式堵漏袋、电磁式堵漏工具组、粘贴式堵漏密封胶(适用于高压)堵漏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阀门</w:t>
                  </w:r>
                </w:p>
              </w:tc>
              <w:tc>
                <w:tcPr>
                  <w:tcW w:w="1726" w:type="dxa"/>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使用阀门堵漏工具组、注入式堵漏胶、堵漏夹具堵漏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1140" w:type="dxa"/>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法兰</w:t>
                  </w:r>
                </w:p>
              </w:tc>
              <w:tc>
                <w:tcPr>
                  <w:tcW w:w="1726" w:type="dxa"/>
                  <w:tcBorders>
                    <w:tl2br w:val="nil"/>
                    <w:tr2bl w:val="nil"/>
                  </w:tcBorders>
                  <w:noWrap w:val="0"/>
                  <w:vAlign w:val="top"/>
                </w:tcPr>
                <w:p>
                  <w:pPr>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p>
              </w:tc>
              <w:tc>
                <w:tcPr>
                  <w:tcW w:w="6250" w:type="dxa"/>
                  <w:tcBorders>
                    <w:tl2br w:val="nil"/>
                    <w:tr2bl w:val="nil"/>
                  </w:tcBorders>
                  <w:noWrap w:val="0"/>
                  <w:vAlign w:val="center"/>
                </w:tcPr>
                <w:p>
                  <w:pPr>
                    <w:widowControl/>
                    <w:spacing w:line="24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使用专用法兰夹具、注入式堵漏胶堵漏</w:t>
                  </w:r>
                </w:p>
              </w:tc>
            </w:tr>
          </w:tbl>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（8）输转和收容</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液氯储罐区设置有事故紧急吸收系统，可对泄漏出的液氯进行收容；三氯化磷储罐区等的泄漏，可首先利用储罐区的防护提进行收容。车间、仓库发生泄漏，可利用现场的沙土进行收容。</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（9）救护</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现场救护。a．将受伤人员迅速撤离现场，转移到上风或侧上风方向空气无污染地区；b．有条件时应立即进行呼吸道及全身防护，防止继续吸入染毒；c．对呼吸、心跳停止者，应立即进行人工呼吸和心脏挤压，采取心肺复苏措施，并给输氧气；d．立即脱去被污染者的服装，皮肤污染者，用流动清水或肥皂水彻底冲洗，眼睛污染者，用大量流动清水彻底冲洗。②使用特效药物治疗。③对症治疗。④严重者送医院观察治疗。如果出现化学品烧灼伤，立即启动灼烫事故预案。</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（10）洗消</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①在危险区与安全区交界处设立洗消站。 ②洗消的对象。a．轻度中毒的人员；b．重度中毒人员在送医院治疗之前；c．现场医务人员；d．消防和其他抢险人员及群众互救人员；e．抢救及染毒器具。③使用相应的洗消药剂。④洗消污水的排放必须符合环保部门的检测，以防造成次生灾害。</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（11）清理</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少量残液，用干沙土吸附，吸附后的沙土应妥善收集、存放，作为危险废物交由有资质的单位处置；对与水反应或溶于水的也可视情况直接使用大量水稀释，产生的事故废水应排入事故水池，后经厂内污水处理设施处理后回用于生产。②在污染地面上洒上中和或洗涤剂浸洗，然后用大量直流水清扫现场，特别是低洼、沟渠等处，确保不留残液，产生的事故废水排入事故水池，后经厂内污水处理设施处理后回用于生产。清点人员、车辆及器材。撤除警戒，做好移交，安全撤离。</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（12）警示</w:t>
            </w:r>
          </w:p>
          <w:p>
            <w:pPr>
              <w:adjustRightInd w:val="0"/>
              <w:snapToGrid w:val="0"/>
              <w:spacing w:line="24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①进入现场必须正确选择行车路线、停车位置、作战阵地。②严密监视液体流淌情况，防止灾情扩大。注意风向变换，适时调整部署。慎重发布灾情和相关新闻。</w:t>
            </w:r>
          </w:p>
          <w:p>
            <w:pPr>
              <w:pStyle w:val="4"/>
              <w:spacing w:before="0" w:after="0"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应急监测</w:t>
            </w:r>
            <w:r>
              <w:rPr>
                <w:rFonts w:hint="eastAsia" w:ascii="宋体" w:hAnsi="宋体" w:eastAsia="宋体" w:cs="宋体"/>
                <w:color w:val="auto"/>
                <w:sz w:val="21"/>
                <w:szCs w:val="21"/>
                <w:lang w:eastAsia="zh-CN"/>
              </w:rPr>
              <w:t>：</w:t>
            </w:r>
          </w:p>
          <w:p>
            <w:pPr>
              <w:numPr>
                <w:ilvl w:val="0"/>
                <w:numId w:val="0"/>
              </w:numPr>
              <w:spacing w:line="24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按照《突发环境事件应急监测技术规范》（HJ589-20</w:t>
            </w: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rPr>
              <w:t>）相关规定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气体物质或易挥发环境风险物质泄漏，则应进行大气环境应急监测</w:t>
            </w:r>
            <w:r>
              <w:rPr>
                <w:rFonts w:hint="eastAsia" w:ascii="宋体" w:hAnsi="宋体" w:eastAsia="宋体" w:cs="宋体"/>
                <w:color w:val="auto"/>
                <w:sz w:val="21"/>
                <w:szCs w:val="21"/>
                <w:lang w:eastAsia="zh-CN"/>
              </w:rPr>
              <w:t>。</w:t>
            </w:r>
          </w:p>
          <w:p>
            <w:pPr>
              <w:numPr>
                <w:ilvl w:val="0"/>
                <w:numId w:val="0"/>
              </w:numPr>
              <w:spacing w:line="240" w:lineRule="auto"/>
              <w:ind w:firstLine="420" w:firstLineChars="200"/>
              <w:rPr>
                <w:rFonts w:hint="eastAsia" w:ascii="宋体" w:hAnsi="宋体" w:eastAsia="宋体" w:cs="宋体"/>
                <w:color w:val="auto"/>
                <w:sz w:val="21"/>
                <w:szCs w:val="21"/>
                <w:lang w:eastAsia="zh-CN"/>
              </w:rPr>
            </w:pPr>
          </w:p>
          <w:p>
            <w:pPr>
              <w:numPr>
                <w:ilvl w:val="0"/>
                <w:numId w:val="3"/>
              </w:numPr>
              <w:spacing w:line="240" w:lineRule="auto"/>
              <w:ind w:left="0" w:leftChars="0" w:firstLine="0" w:firstLineChars="0"/>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rPr>
              <w:t>废气、废水治理设施故障专项应急预案</w:t>
            </w:r>
          </w:p>
          <w:p>
            <w:pPr>
              <w:pStyle w:val="4"/>
              <w:adjustRightInd w:val="0"/>
              <w:snapToGrid w:val="0"/>
              <w:spacing w:before="0" w:after="0" w:line="360" w:lineRule="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rPr>
              <w:t>废水应急处置措施</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1）废水管网破裂</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如若厂区内的生产废水管网或阀门坏损，发生生产废水外流，应立即关闭雨水管网总阀门，避免生产废水经雨水管网排入外环境，进入雨水管网的废水通过阀门切换，将水导流进入污水处理设施。同时关闭距离污水管网破裂最近的阀门，控制废水继续外流，而后抢险抢修组立即采取更换管网或阀门的措施，恢复污水管网的正常使用。</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（2）污水处理设施故障</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污水处理设施发生故障后，应停止生产废水接收，将产生的生产废水先转移至事故水池，必要时停止生产。待污水处理设施维修正常后，将事故水池中废水导入生产废水处理设施处理。污水处理设施应由抢险抢修组维修，如若不具备维修能力，则通知污水处理设施供应商，要求其委派技术维修人员到现场，对污水处理设施进行维修。</w:t>
            </w:r>
          </w:p>
          <w:p>
            <w:pPr>
              <w:pStyle w:val="4"/>
              <w:adjustRightInd w:val="0"/>
              <w:snapToGrid w:val="0"/>
              <w:spacing w:before="0" w:after="0"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废气应急处置措施</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气应急处置措施故障时，将造成废气未经处理直接排放，加重大气环境的污染。当废气处理设施故障时，发现人员应启动报警。抢险抢修组接到报警后，第一时间赶赴现场，停止涉气工序生产，对废气治理设施进行维修。待废气处理设施经维修可以正常工作时，再重新恢复生产。</w:t>
            </w:r>
          </w:p>
          <w:p>
            <w:pPr>
              <w:pStyle w:val="4"/>
              <w:spacing w:before="0" w:after="0"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应急监测</w:t>
            </w:r>
          </w:p>
          <w:p>
            <w:pPr>
              <w:adjustRightInd w:val="0"/>
              <w:snapToGrid w:val="0"/>
              <w:spacing w:line="360" w:lineRule="auto"/>
              <w:ind w:firstLine="485"/>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按照《突发环境事件应急监测技术规范》（HJ589-20</w:t>
            </w:r>
            <w:r>
              <w:rPr>
                <w:rFonts w:hint="eastAsia" w:asciiTheme="minorEastAsia" w:hAnsiTheme="minorEastAsia" w:cstheme="minorEastAsia"/>
                <w:color w:val="auto"/>
                <w:sz w:val="21"/>
                <w:szCs w:val="21"/>
                <w:lang w:val="en-US" w:eastAsia="zh-CN"/>
              </w:rPr>
              <w:t>21</w:t>
            </w:r>
            <w:r>
              <w:rPr>
                <w:rFonts w:hint="eastAsia" w:asciiTheme="minorEastAsia" w:hAnsiTheme="minorEastAsia" w:eastAsiaTheme="minorEastAsia" w:cstheme="minorEastAsia"/>
                <w:color w:val="auto"/>
                <w:sz w:val="21"/>
                <w:szCs w:val="21"/>
              </w:rPr>
              <w:t>）相关规定执行。废气治理设施故障下导致废气超标排放，以及生产废水处理设施故障并且生产废水经雨水管网排出厂区进入地表水环境的，应启动大气或地表水的应急监测，应急监测因子、监测点位见表</w:t>
            </w:r>
            <w:r>
              <w:rPr>
                <w:rFonts w:hint="eastAsia" w:asciiTheme="minorEastAsia" w:hAnsi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w:t>
            </w:r>
          </w:p>
          <w:p>
            <w:pPr>
              <w:pStyle w:val="6"/>
              <w:spacing w:line="240" w:lineRule="auto"/>
              <w:ind w:firstLine="482"/>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kern w:val="1"/>
                <w:sz w:val="21"/>
                <w:szCs w:val="21"/>
              </w:rPr>
              <w:t>表</w:t>
            </w:r>
            <w:r>
              <w:rPr>
                <w:rFonts w:hint="eastAsia" w:asciiTheme="minorEastAsia" w:hAnsiTheme="minorEastAsia" w:cstheme="minorEastAsia"/>
                <w:b w:val="0"/>
                <w:bCs w:val="0"/>
                <w:kern w:val="1"/>
                <w:sz w:val="21"/>
                <w:szCs w:val="21"/>
                <w:lang w:val="en-US" w:eastAsia="zh-CN"/>
              </w:rPr>
              <w:t>5</w:t>
            </w:r>
            <w:r>
              <w:rPr>
                <w:rFonts w:hint="eastAsia" w:asciiTheme="minorEastAsia" w:hAnsiTheme="minorEastAsia" w:eastAsiaTheme="minorEastAsia" w:cstheme="minorEastAsia"/>
                <w:b w:val="0"/>
                <w:bCs w:val="0"/>
                <w:kern w:val="1"/>
                <w:sz w:val="21"/>
                <w:szCs w:val="21"/>
                <w:lang w:val="zh-CN"/>
              </w:rPr>
              <w:t>污染治理设施故障下应急</w:t>
            </w:r>
            <w:r>
              <w:rPr>
                <w:rFonts w:hint="eastAsia" w:asciiTheme="minorEastAsia" w:hAnsiTheme="minorEastAsia" w:eastAsiaTheme="minorEastAsia" w:cstheme="minorEastAsia"/>
                <w:b w:val="0"/>
                <w:bCs w:val="0"/>
                <w:kern w:val="1"/>
                <w:sz w:val="21"/>
                <w:szCs w:val="21"/>
              </w:rPr>
              <w:t>监测因子及监测点位</w:t>
            </w:r>
          </w:p>
          <w:tbl>
            <w:tblPr>
              <w:tblStyle w:val="8"/>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60"/>
              <w:gridCol w:w="2397"/>
              <w:gridCol w:w="1647"/>
              <w:gridCol w:w="1647"/>
              <w:gridCol w:w="24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9" w:hRule="atLeast"/>
              </w:trPr>
              <w:tc>
                <w:tcPr>
                  <w:tcW w:w="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事故原因</w:t>
                  </w:r>
                </w:p>
              </w:tc>
              <w:tc>
                <w:tcPr>
                  <w:tcW w:w="1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事故源</w:t>
                  </w:r>
                </w:p>
              </w:tc>
              <w:tc>
                <w:tcPr>
                  <w:tcW w:w="8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监测因子</w:t>
                  </w:r>
                </w:p>
              </w:tc>
              <w:tc>
                <w:tcPr>
                  <w:tcW w:w="8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大气监测点位</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地表水监测点位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762" w:type="pct"/>
                  <w:vMerge w:val="restar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长期运行或突发等原因导致废气治理设施故障</w:t>
                  </w:r>
                </w:p>
              </w:tc>
              <w:tc>
                <w:tcPr>
                  <w:tcW w:w="1251"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三氯化磷车间尾气吸收装置</w:t>
                  </w:r>
                </w:p>
              </w:tc>
              <w:tc>
                <w:tcPr>
                  <w:tcW w:w="859"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HCl</w:t>
                  </w:r>
                </w:p>
              </w:tc>
              <w:tc>
                <w:tcPr>
                  <w:tcW w:w="859" w:type="pct"/>
                  <w:vMerge w:val="restar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事故源下风向100m、200m、500m</w:t>
                  </w:r>
                </w:p>
              </w:tc>
              <w:tc>
                <w:tcPr>
                  <w:tcW w:w="1266" w:type="pct"/>
                  <w:vMerge w:val="restar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762" w:type="pct"/>
                  <w:vMerge w:val="continue"/>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p>
              </w:tc>
              <w:tc>
                <w:tcPr>
                  <w:tcW w:w="1251"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五氯化磷车间尾气吸收装置</w:t>
                  </w:r>
                </w:p>
              </w:tc>
              <w:tc>
                <w:tcPr>
                  <w:tcW w:w="859"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HCl</w:t>
                  </w:r>
                </w:p>
              </w:tc>
              <w:tc>
                <w:tcPr>
                  <w:tcW w:w="859" w:type="pct"/>
                  <w:vMerge w:val="continue"/>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p>
              </w:tc>
              <w:tc>
                <w:tcPr>
                  <w:tcW w:w="1266" w:type="pct"/>
                  <w:vMerge w:val="continue"/>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762" w:type="pct"/>
                  <w:vMerge w:val="continue"/>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p>
              </w:tc>
              <w:tc>
                <w:tcPr>
                  <w:tcW w:w="1251"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三氯氧磷</w:t>
                  </w:r>
                  <w:r>
                    <w:rPr>
                      <w:rFonts w:hint="eastAsia" w:asciiTheme="minorEastAsia" w:hAnsiTheme="minorEastAsia" w:eastAsiaTheme="minorEastAsia" w:cstheme="minorEastAsia"/>
                      <w:color w:val="auto"/>
                      <w:sz w:val="21"/>
                      <w:szCs w:val="21"/>
                    </w:rPr>
                    <w:t>车间尾气吸收装置</w:t>
                  </w:r>
                </w:p>
              </w:tc>
              <w:tc>
                <w:tcPr>
                  <w:tcW w:w="859"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HCl</w:t>
                  </w:r>
                </w:p>
              </w:tc>
              <w:tc>
                <w:tcPr>
                  <w:tcW w:w="859" w:type="pct"/>
                  <w:vMerge w:val="continue"/>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p>
              </w:tc>
              <w:tc>
                <w:tcPr>
                  <w:tcW w:w="1266" w:type="pct"/>
                  <w:vMerge w:val="continue"/>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762"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长期运行或突发等原因导致废水治理设施故障</w:t>
                  </w:r>
                </w:p>
              </w:tc>
              <w:tc>
                <w:tcPr>
                  <w:tcW w:w="1251"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生产废水处理设施</w:t>
                  </w:r>
                </w:p>
              </w:tc>
              <w:tc>
                <w:tcPr>
                  <w:tcW w:w="859"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pH、COD、NH</w:t>
                  </w:r>
                  <w:r>
                    <w:rPr>
                      <w:rFonts w:hint="eastAsia" w:asciiTheme="minorEastAsia" w:hAnsiTheme="minorEastAsia" w:eastAsiaTheme="minorEastAsia" w:cstheme="minorEastAsia"/>
                      <w:color w:val="auto"/>
                      <w:sz w:val="21"/>
                      <w:szCs w:val="21"/>
                      <w:vertAlign w:val="subscript"/>
                    </w:rPr>
                    <w:t>3</w:t>
                  </w:r>
                  <w:r>
                    <w:rPr>
                      <w:rFonts w:hint="eastAsia" w:asciiTheme="minorEastAsia" w:hAnsiTheme="minorEastAsia" w:eastAsiaTheme="minorEastAsia" w:cstheme="minorEastAsia"/>
                      <w:color w:val="auto"/>
                      <w:sz w:val="21"/>
                      <w:szCs w:val="21"/>
                    </w:rPr>
                    <w:t>-N、石油类、全盐量</w:t>
                  </w:r>
                </w:p>
              </w:tc>
              <w:tc>
                <w:tcPr>
                  <w:tcW w:w="859"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1266" w:type="pct"/>
                  <w:tcBorders>
                    <w:tl2br w:val="nil"/>
                    <w:tr2bl w:val="nil"/>
                  </w:tcBorders>
                  <w:noWrap w:val="0"/>
                  <w:vAlign w:val="center"/>
                </w:tcPr>
                <w:p>
                  <w:pPr>
                    <w:adjustRightInd w:val="0"/>
                    <w:snapToGrid w:val="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厂区下游至汇入屯头河前的位置</w:t>
                  </w:r>
                </w:p>
              </w:tc>
            </w:tr>
          </w:tbl>
          <w:p>
            <w:pPr>
              <w:numPr>
                <w:ilvl w:val="0"/>
                <w:numId w:val="3"/>
              </w:numPr>
              <w:spacing w:line="240" w:lineRule="auto"/>
              <w:ind w:left="0" w:leftChars="0" w:firstLine="0" w:firstLineChars="0"/>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固废突发环境事故专项应急预案</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w:t>
            </w:r>
            <w:r>
              <w:rPr>
                <w:rFonts w:hint="eastAsia" w:ascii="宋体" w:hAnsi="宋体" w:eastAsia="宋体" w:cs="宋体"/>
                <w:color w:val="auto"/>
                <w:sz w:val="21"/>
                <w:szCs w:val="21"/>
                <w:lang w:eastAsia="zh-CN"/>
              </w:rPr>
              <w:t>公司</w:t>
            </w:r>
            <w:r>
              <w:rPr>
                <w:rFonts w:hint="eastAsia" w:ascii="宋体" w:hAnsi="宋体" w:eastAsia="宋体" w:cs="宋体"/>
                <w:color w:val="auto"/>
                <w:sz w:val="21"/>
                <w:szCs w:val="21"/>
              </w:rPr>
              <w:t>生产过程中产生的固废主要包括危险废物和生活垃圾等。</w:t>
            </w:r>
            <w:r>
              <w:rPr>
                <w:rFonts w:hint="eastAsia" w:ascii="宋体" w:hAnsi="宋体" w:eastAsia="宋体" w:cs="宋体"/>
                <w:color w:val="auto"/>
                <w:sz w:val="21"/>
                <w:szCs w:val="21"/>
                <w:lang w:val="en-US" w:eastAsia="zh-CN"/>
              </w:rPr>
              <w:t>危</w:t>
            </w:r>
            <w:r>
              <w:rPr>
                <w:rFonts w:hint="eastAsia" w:ascii="宋体" w:hAnsi="宋体" w:eastAsia="宋体" w:cs="宋体"/>
                <w:color w:val="auto"/>
                <w:sz w:val="21"/>
                <w:szCs w:val="21"/>
              </w:rPr>
              <w:t>废产生情况见表</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w:t>
            </w:r>
          </w:p>
          <w:p>
            <w:pPr>
              <w:pStyle w:val="6"/>
              <w:spacing w:line="240" w:lineRule="auto"/>
              <w:ind w:firstLine="482"/>
              <w:jc w:val="center"/>
              <w:rPr>
                <w:rFonts w:hint="eastAsia" w:ascii="宋体" w:hAnsi="宋体" w:eastAsia="宋体" w:cs="宋体"/>
                <w:b w:val="0"/>
                <w:bCs w:val="0"/>
                <w:kern w:val="1"/>
                <w:sz w:val="21"/>
                <w:szCs w:val="21"/>
                <w:lang w:val="en-US" w:eastAsia="zh-CN"/>
              </w:rPr>
            </w:pPr>
            <w:r>
              <w:rPr>
                <w:rFonts w:hint="eastAsia" w:ascii="宋体" w:hAnsi="宋体" w:eastAsia="宋体" w:cs="宋体"/>
                <w:b w:val="0"/>
                <w:bCs w:val="0"/>
                <w:kern w:val="1"/>
                <w:sz w:val="21"/>
                <w:szCs w:val="21"/>
              </w:rPr>
              <w:t>表</w:t>
            </w:r>
            <w:r>
              <w:rPr>
                <w:rFonts w:hint="eastAsia" w:ascii="宋体" w:hAnsi="宋体" w:eastAsia="宋体" w:cs="宋体"/>
                <w:b w:val="0"/>
                <w:bCs w:val="0"/>
                <w:kern w:val="1"/>
                <w:sz w:val="21"/>
                <w:szCs w:val="21"/>
                <w:lang w:val="en-US" w:eastAsia="zh-CN"/>
              </w:rPr>
              <w:t>6</w:t>
            </w:r>
            <w:r>
              <w:rPr>
                <w:rFonts w:hint="eastAsia" w:ascii="宋体" w:hAnsi="宋体" w:eastAsia="宋体" w:cs="宋体"/>
                <w:b w:val="0"/>
                <w:bCs w:val="0"/>
                <w:kern w:val="1"/>
                <w:sz w:val="21"/>
                <w:szCs w:val="21"/>
              </w:rPr>
              <w:t xml:space="preserve"> </w:t>
            </w:r>
            <w:r>
              <w:rPr>
                <w:rFonts w:hint="eastAsia" w:ascii="宋体" w:hAnsi="宋体" w:eastAsia="宋体" w:cs="宋体"/>
                <w:b w:val="0"/>
                <w:bCs w:val="0"/>
                <w:kern w:val="1"/>
                <w:sz w:val="21"/>
                <w:szCs w:val="21"/>
                <w:lang w:val="en-US" w:eastAsia="zh-CN"/>
              </w:rPr>
              <w:t>固废产生情况表</w:t>
            </w:r>
          </w:p>
          <w:tbl>
            <w:tblPr>
              <w:tblStyle w:val="8"/>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8"/>
              <w:gridCol w:w="1456"/>
              <w:gridCol w:w="1331"/>
              <w:gridCol w:w="2146"/>
              <w:gridCol w:w="1026"/>
              <w:gridCol w:w="1005"/>
              <w:gridCol w:w="1005"/>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2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序号</w:t>
                  </w:r>
                </w:p>
              </w:tc>
              <w:tc>
                <w:tcPr>
                  <w:tcW w:w="75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spacing w:val="0"/>
                      <w:kern w:val="2"/>
                      <w:sz w:val="21"/>
                      <w:szCs w:val="21"/>
                    </w:rPr>
                  </w:pPr>
                  <w:r>
                    <w:rPr>
                      <w:rFonts w:hint="eastAsia" w:ascii="宋体" w:hAnsi="宋体" w:eastAsia="宋体" w:cs="宋体"/>
                      <w:b w:val="0"/>
                      <w:bCs w:val="0"/>
                      <w:color w:val="auto"/>
                      <w:spacing w:val="0"/>
                      <w:kern w:val="0"/>
                      <w:sz w:val="21"/>
                      <w:szCs w:val="21"/>
                    </w:rPr>
                    <w:t>废物名称</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spacing w:val="0"/>
                      <w:kern w:val="2"/>
                      <w:sz w:val="21"/>
                      <w:szCs w:val="21"/>
                    </w:rPr>
                  </w:pPr>
                  <w:r>
                    <w:rPr>
                      <w:rFonts w:hint="eastAsia" w:ascii="宋体" w:hAnsi="宋体" w:eastAsia="宋体" w:cs="宋体"/>
                      <w:b w:val="0"/>
                      <w:bCs w:val="0"/>
                      <w:color w:val="auto"/>
                      <w:spacing w:val="0"/>
                      <w:kern w:val="0"/>
                      <w:sz w:val="21"/>
                      <w:szCs w:val="21"/>
                    </w:rPr>
                    <w:t>产生工序或装置</w:t>
                  </w:r>
                </w:p>
              </w:tc>
              <w:tc>
                <w:tcPr>
                  <w:tcW w:w="11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spacing w:val="0"/>
                      <w:kern w:val="2"/>
                      <w:sz w:val="21"/>
                      <w:szCs w:val="21"/>
                    </w:rPr>
                  </w:pPr>
                  <w:r>
                    <w:rPr>
                      <w:rFonts w:hint="eastAsia" w:ascii="宋体" w:hAnsi="宋体" w:eastAsia="宋体" w:cs="宋体"/>
                      <w:b w:val="0"/>
                      <w:bCs w:val="0"/>
                      <w:color w:val="auto"/>
                      <w:spacing w:val="0"/>
                      <w:kern w:val="0"/>
                      <w:sz w:val="21"/>
                      <w:szCs w:val="21"/>
                    </w:rPr>
                    <w:t>危废代码</w:t>
                  </w:r>
                </w:p>
              </w:tc>
              <w:tc>
                <w:tcPr>
                  <w:tcW w:w="534"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spacing w:val="0"/>
                      <w:kern w:val="2"/>
                      <w:sz w:val="21"/>
                      <w:szCs w:val="21"/>
                    </w:rPr>
                  </w:pPr>
                  <w:r>
                    <w:rPr>
                      <w:rFonts w:hint="eastAsia" w:ascii="宋体" w:hAnsi="宋体" w:eastAsia="宋体" w:cs="宋体"/>
                      <w:b w:val="0"/>
                      <w:bCs w:val="0"/>
                      <w:color w:val="auto"/>
                      <w:spacing w:val="0"/>
                      <w:kern w:val="0"/>
                      <w:sz w:val="21"/>
                      <w:szCs w:val="21"/>
                    </w:rPr>
                    <w:t>主要成分</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spacing w:val="0"/>
                      <w:kern w:val="2"/>
                      <w:sz w:val="21"/>
                      <w:szCs w:val="21"/>
                    </w:rPr>
                  </w:pPr>
                  <w:r>
                    <w:rPr>
                      <w:rFonts w:hint="eastAsia" w:ascii="宋体" w:hAnsi="宋体" w:eastAsia="宋体" w:cs="宋体"/>
                      <w:b w:val="0"/>
                      <w:bCs w:val="0"/>
                      <w:color w:val="auto"/>
                      <w:spacing w:val="0"/>
                      <w:kern w:val="2"/>
                      <w:sz w:val="21"/>
                      <w:szCs w:val="21"/>
                    </w:rPr>
                    <w:t>性状</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spacing w:val="0"/>
                      <w:kern w:val="2"/>
                      <w:sz w:val="21"/>
                      <w:szCs w:val="21"/>
                    </w:rPr>
                  </w:pPr>
                  <w:r>
                    <w:rPr>
                      <w:rFonts w:hint="eastAsia" w:ascii="宋体" w:hAnsi="宋体" w:eastAsia="宋体" w:cs="宋体"/>
                      <w:b w:val="0"/>
                      <w:bCs w:val="0"/>
                      <w:color w:val="auto"/>
                      <w:spacing w:val="0"/>
                      <w:kern w:val="0"/>
                      <w:sz w:val="21"/>
                      <w:szCs w:val="21"/>
                    </w:rPr>
                    <w:t>核算量(t/a)</w:t>
                  </w:r>
                </w:p>
              </w:tc>
              <w:tc>
                <w:tcPr>
                  <w:tcW w:w="62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spacing w:val="0"/>
                      <w:kern w:val="2"/>
                      <w:sz w:val="21"/>
                      <w:szCs w:val="21"/>
                    </w:rPr>
                  </w:pPr>
                  <w:r>
                    <w:rPr>
                      <w:rFonts w:hint="eastAsia" w:ascii="宋体" w:hAnsi="宋体" w:eastAsia="宋体" w:cs="宋体"/>
                      <w:b w:val="0"/>
                      <w:bCs w:val="0"/>
                      <w:color w:val="auto"/>
                      <w:spacing w:val="0"/>
                      <w:kern w:val="0"/>
                      <w:sz w:val="21"/>
                      <w:szCs w:val="21"/>
                      <w:lang w:val="en-US" w:eastAsia="zh-CN"/>
                    </w:rPr>
                    <w:t>最大储存量</w:t>
                  </w:r>
                  <w:r>
                    <w:rPr>
                      <w:rFonts w:hint="eastAsia" w:ascii="宋体" w:hAnsi="宋体" w:eastAsia="宋体" w:cs="宋体"/>
                      <w:b w:val="0"/>
                      <w:bCs w:val="0"/>
                      <w:color w:val="auto"/>
                      <w:spacing w:val="0"/>
                      <w:kern w:val="0"/>
                      <w:sz w:val="21"/>
                      <w:szCs w:val="21"/>
                    </w:rPr>
                    <w:t>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2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w:t>
                  </w:r>
                </w:p>
              </w:tc>
              <w:tc>
                <w:tcPr>
                  <w:tcW w:w="7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rPr>
                    <w:t>清釜</w:t>
                  </w:r>
                  <w:r>
                    <w:rPr>
                      <w:rFonts w:hint="eastAsia" w:ascii="宋体" w:hAnsi="宋体" w:eastAsia="宋体" w:cs="宋体"/>
                      <w:color w:val="auto"/>
                      <w:kern w:val="2"/>
                      <w:sz w:val="21"/>
                      <w:szCs w:val="21"/>
                      <w:lang w:val="en-US" w:eastAsia="zh-CN"/>
                    </w:rPr>
                    <w:t>残渣</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清釜</w:t>
                  </w:r>
                </w:p>
              </w:tc>
              <w:tc>
                <w:tcPr>
                  <w:tcW w:w="11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HW11 900-013-11</w:t>
                  </w:r>
                </w:p>
              </w:tc>
              <w:tc>
                <w:tcPr>
                  <w:tcW w:w="5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杂质</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糊状</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0.05</w:t>
                  </w:r>
                </w:p>
              </w:tc>
              <w:tc>
                <w:tcPr>
                  <w:tcW w:w="6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2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val="en-US" w:eastAsia="zh-CN"/>
                    </w:rPr>
                    <w:t>2</w:t>
                  </w:r>
                </w:p>
              </w:tc>
              <w:tc>
                <w:tcPr>
                  <w:tcW w:w="7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rPr>
                    <w:t>污水处理污泥</w:t>
                  </w:r>
                </w:p>
              </w:tc>
              <w:tc>
                <w:tcPr>
                  <w:tcW w:w="6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污水处理</w:t>
                  </w:r>
                </w:p>
              </w:tc>
              <w:tc>
                <w:tcPr>
                  <w:tcW w:w="11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HW08 900-210-08</w:t>
                  </w:r>
                </w:p>
              </w:tc>
              <w:tc>
                <w:tcPr>
                  <w:tcW w:w="5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污泥、水等</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val="en-US" w:eastAsia="zh-CN"/>
                    </w:rPr>
                    <w:t>糊状</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39</w:t>
                  </w:r>
                </w:p>
              </w:tc>
              <w:tc>
                <w:tcPr>
                  <w:tcW w:w="6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2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val="en-US" w:eastAsia="zh-CN"/>
                    </w:rPr>
                    <w:t>3</w:t>
                  </w:r>
                </w:p>
              </w:tc>
              <w:tc>
                <w:tcPr>
                  <w:tcW w:w="75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eastAsia" w:ascii="宋体" w:hAnsi="宋体" w:eastAsia="宋体" w:cs="宋体"/>
                      <w:color w:val="auto"/>
                      <w:kern w:val="2"/>
                      <w:sz w:val="21"/>
                      <w:szCs w:val="21"/>
                      <w:shd w:val="clear" w:color="auto" w:fill="auto"/>
                      <w:lang w:val="en-US" w:eastAsia="zh-CN" w:bidi="ar-SA"/>
                    </w:rPr>
                  </w:pPr>
                  <w:r>
                    <w:rPr>
                      <w:rFonts w:hint="eastAsia" w:ascii="宋体" w:hAnsi="宋体" w:eastAsia="宋体" w:cs="宋体"/>
                      <w:color w:val="auto"/>
                      <w:kern w:val="2"/>
                      <w:sz w:val="21"/>
                      <w:szCs w:val="21"/>
                      <w:lang w:val="en-US" w:eastAsia="zh-CN"/>
                    </w:rPr>
                    <w:t>三效蒸发废盐</w:t>
                  </w:r>
                </w:p>
              </w:tc>
              <w:tc>
                <w:tcPr>
                  <w:tcW w:w="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shd w:val="clear" w:color="auto" w:fill="auto"/>
                      <w:lang w:val="en-US" w:eastAsia="zh-CN" w:bidi="ar-SA"/>
                    </w:rPr>
                  </w:pPr>
                  <w:r>
                    <w:rPr>
                      <w:rFonts w:hint="eastAsia" w:ascii="宋体" w:hAnsi="宋体" w:eastAsia="宋体" w:cs="宋体"/>
                      <w:color w:val="auto"/>
                      <w:kern w:val="2"/>
                      <w:sz w:val="21"/>
                      <w:szCs w:val="21"/>
                      <w:shd w:val="clear" w:color="auto" w:fill="auto"/>
                      <w:lang w:val="en-US" w:eastAsia="zh-CN"/>
                    </w:rPr>
                    <w:t>废水处理</w:t>
                  </w:r>
                </w:p>
              </w:tc>
              <w:tc>
                <w:tcPr>
                  <w:tcW w:w="11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shd w:val="clear" w:color="auto" w:fill="auto"/>
                      <w:lang w:val="en-US" w:eastAsia="zh-CN" w:bidi="ar-SA"/>
                    </w:rPr>
                  </w:pPr>
                  <w:r>
                    <w:rPr>
                      <w:rFonts w:hint="eastAsia" w:ascii="宋体" w:hAnsi="宋体" w:eastAsia="宋体" w:cs="宋体"/>
                      <w:color w:val="auto"/>
                      <w:kern w:val="2"/>
                      <w:sz w:val="21"/>
                      <w:szCs w:val="21"/>
                      <w:lang w:val="en-US" w:eastAsia="zh-CN"/>
                    </w:rPr>
                    <w:t>HW11 900-013-11</w:t>
                  </w:r>
                </w:p>
              </w:tc>
              <w:tc>
                <w:tcPr>
                  <w:tcW w:w="534"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color w:val="auto"/>
                      <w:kern w:val="2"/>
                      <w:sz w:val="21"/>
                      <w:szCs w:val="21"/>
                      <w:shd w:val="clear" w:color="auto" w:fill="auto"/>
                      <w:lang w:val="en-US" w:eastAsia="zh-CN" w:bidi="ar-SA"/>
                    </w:rPr>
                  </w:pPr>
                  <w:r>
                    <w:rPr>
                      <w:rFonts w:hint="eastAsia" w:ascii="宋体" w:hAnsi="宋体" w:eastAsia="宋体" w:cs="宋体"/>
                      <w:color w:val="auto"/>
                      <w:kern w:val="2"/>
                      <w:sz w:val="21"/>
                      <w:szCs w:val="21"/>
                      <w:lang w:val="en-US" w:eastAsia="zh-CN"/>
                    </w:rPr>
                    <w:t>氯化钠等</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2"/>
                      <w:sz w:val="21"/>
                      <w:szCs w:val="21"/>
                      <w:shd w:val="clear" w:color="auto" w:fill="auto"/>
                      <w:lang w:val="en-US" w:eastAsia="zh-CN" w:bidi="ar-SA"/>
                    </w:rPr>
                  </w:pPr>
                  <w:r>
                    <w:rPr>
                      <w:rFonts w:hint="eastAsia" w:ascii="宋体" w:hAnsi="宋体" w:eastAsia="宋体" w:cs="宋体"/>
                      <w:color w:val="auto"/>
                      <w:kern w:val="2"/>
                      <w:sz w:val="21"/>
                      <w:szCs w:val="21"/>
                      <w:lang w:val="en-US" w:eastAsia="zh-CN"/>
                    </w:rPr>
                    <w:t>固体</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color w:val="auto"/>
                      <w:kern w:val="2"/>
                      <w:sz w:val="21"/>
                      <w:szCs w:val="21"/>
                      <w:shd w:val="clear" w:color="auto" w:fill="auto"/>
                      <w:lang w:val="en-US" w:eastAsia="zh-CN" w:bidi="ar-SA"/>
                    </w:rPr>
                  </w:pPr>
                  <w:r>
                    <w:rPr>
                      <w:rFonts w:hint="eastAsia" w:ascii="宋体" w:hAnsi="宋体" w:eastAsia="宋体" w:cs="宋体"/>
                      <w:color w:val="auto"/>
                      <w:kern w:val="2"/>
                      <w:sz w:val="21"/>
                      <w:szCs w:val="21"/>
                      <w:shd w:val="clear" w:color="auto" w:fill="auto"/>
                      <w:lang w:val="en-US" w:eastAsia="zh-CN"/>
                    </w:rPr>
                    <w:t>100</w:t>
                  </w:r>
                </w:p>
              </w:tc>
              <w:tc>
                <w:tcPr>
                  <w:tcW w:w="6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1"/>
                      <w:szCs w:val="21"/>
                      <w:shd w:val="clear" w:color="auto" w:fill="auto"/>
                      <w:lang w:val="en-US" w:eastAsia="zh-CN" w:bidi="ar-SA"/>
                    </w:rPr>
                  </w:pPr>
                  <w:r>
                    <w:rPr>
                      <w:rFonts w:hint="eastAsia" w:ascii="宋体" w:hAnsi="宋体" w:eastAsia="宋体" w:cs="宋体"/>
                      <w:color w:val="auto"/>
                      <w:kern w:val="2"/>
                      <w:sz w:val="21"/>
                      <w:szCs w:val="21"/>
                      <w:shd w:val="clear" w:color="auto" w:fill="auto"/>
                      <w:lang w:val="en-US" w:eastAsia="zh-CN" w:bidi="ar-SA"/>
                    </w:rPr>
                    <w:t>3</w:t>
                  </w:r>
                </w:p>
              </w:tc>
            </w:tr>
          </w:tbl>
          <w:p>
            <w:pPr>
              <w:pStyle w:val="4"/>
              <w:spacing w:before="0"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泄漏处置措施</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泄漏事故控制一般分为泄漏源控制和泄漏物处置两部分。</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（1）泄漏处置注意事项</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进入泄漏现场进行处理时，应注意以下几项：</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①进入泄露单元危废间的现场人员必须配备必要、有效的个人防护器具（如防护服、防毒面罩、防酸碱靴）。</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②进入危废间应严禁火种。防止任何形式的热源和火源，以降低发生火灾爆炸危险性；</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③固废发生泄漏时，尤其是危险废物发生泄漏时，抢修抢险人员进行应急处理时严禁单独行动，要有监护人，防止突发情况的产生。</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（2）泄漏源控制</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污泥在贮存的过程的过程采用吨袋（具有防尘、防潮等）进行贮存；污泥吨袋贮存和运输过程中，吨袋是密封的，防止污泥在贮存和运输过程中污泥散落。委外处置时，采用半挂车对污泥进行装卸，进一步确保工作人员直接接触污泥，保障类员工的职业健康。委外处置时有资质运输车辆不宜装载过满，应注意遮盖。防止污泥散落影响道路卫生以及周围土壤、大气、地表水等环境。</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②</w:t>
            </w:r>
            <w:r>
              <w:rPr>
                <w:rFonts w:hint="eastAsia" w:ascii="宋体" w:hAnsi="宋体" w:eastAsia="宋体" w:cs="宋体"/>
                <w:color w:val="auto"/>
                <w:sz w:val="21"/>
                <w:szCs w:val="21"/>
                <w:lang w:val="en-US" w:eastAsia="zh-CN"/>
              </w:rPr>
              <w:t>清釜</w:t>
            </w:r>
            <w:r>
              <w:rPr>
                <w:rFonts w:hint="eastAsia" w:ascii="宋体" w:hAnsi="宋体" w:eastAsia="宋体" w:cs="宋体"/>
                <w:color w:val="auto"/>
                <w:sz w:val="21"/>
                <w:szCs w:val="21"/>
              </w:rPr>
              <w:t>残</w:t>
            </w:r>
            <w:r>
              <w:rPr>
                <w:rFonts w:hint="eastAsia" w:ascii="宋体" w:hAnsi="宋体" w:eastAsia="宋体" w:cs="宋体"/>
                <w:color w:val="auto"/>
                <w:sz w:val="21"/>
                <w:szCs w:val="21"/>
                <w:lang w:val="en-US" w:eastAsia="zh-CN"/>
              </w:rPr>
              <w:t>渣</w:t>
            </w:r>
            <w:r>
              <w:rPr>
                <w:rFonts w:hint="eastAsia" w:ascii="宋体" w:hAnsi="宋体" w:eastAsia="宋体" w:cs="宋体"/>
                <w:color w:val="auto"/>
                <w:sz w:val="21"/>
                <w:szCs w:val="21"/>
              </w:rPr>
              <w:t>在贮存的过程中贮存在吨桶内，可避免相应固体废物尤其是危险固废与容器发生反应而产生环境事故。危废库四周应设置导流沟和收集槽，地面做好防腐防渗等。</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③污泥、废液在运输的过程企业采取风险防范与应急措施：危险废物的包装严格执行《危险货物运输包装通用技术条件》（GB12463-</w:t>
            </w:r>
            <w:r>
              <w:rPr>
                <w:rFonts w:hint="eastAsia" w:ascii="宋体" w:hAnsi="宋体" w:eastAsia="宋体" w:cs="宋体"/>
                <w:color w:val="auto"/>
                <w:sz w:val="21"/>
                <w:szCs w:val="21"/>
                <w:lang w:val="en-US" w:eastAsia="zh-CN"/>
              </w:rPr>
              <w:t>2009</w:t>
            </w:r>
            <w:r>
              <w:rPr>
                <w:rFonts w:hint="eastAsia" w:ascii="宋体" w:hAnsi="宋体" w:eastAsia="宋体" w:cs="宋体"/>
                <w:color w:val="auto"/>
                <w:sz w:val="21"/>
                <w:szCs w:val="21"/>
              </w:rPr>
              <w:t>），《危险货物运输包装标志》（GB190-</w:t>
            </w:r>
            <w:r>
              <w:rPr>
                <w:rFonts w:hint="eastAsia" w:ascii="宋体" w:hAnsi="宋体" w:eastAsia="宋体" w:cs="宋体"/>
                <w:color w:val="auto"/>
                <w:sz w:val="21"/>
                <w:szCs w:val="21"/>
                <w:lang w:val="en-US" w:eastAsia="zh-CN"/>
              </w:rPr>
              <w:t>2009</w:t>
            </w:r>
            <w:r>
              <w:rPr>
                <w:rFonts w:hint="eastAsia" w:ascii="宋体" w:hAnsi="宋体" w:eastAsia="宋体" w:cs="宋体"/>
                <w:color w:val="auto"/>
                <w:sz w:val="21"/>
                <w:szCs w:val="21"/>
              </w:rPr>
              <w:t>）规范要求。</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综上所述，</w:t>
            </w:r>
            <w:r>
              <w:rPr>
                <w:rFonts w:hint="eastAsia" w:ascii="宋体" w:hAnsi="宋体" w:eastAsia="宋体" w:cs="宋体"/>
                <w:color w:val="auto"/>
                <w:sz w:val="21"/>
                <w:szCs w:val="21"/>
                <w:lang w:val="en-US" w:eastAsia="zh-CN"/>
              </w:rPr>
              <w:t>公司</w:t>
            </w:r>
            <w:r>
              <w:rPr>
                <w:rFonts w:hint="eastAsia" w:ascii="宋体" w:hAnsi="宋体" w:eastAsia="宋体" w:cs="宋体"/>
                <w:color w:val="auto"/>
                <w:sz w:val="21"/>
                <w:szCs w:val="21"/>
              </w:rPr>
              <w:t>根据危险废物的种类和特性进行分区、分类贮存，设置防雨、防火、防雷、防扬散、防渗漏装置及泄漏液体收集装置。对易爆、易燃及排出有毒气体的危险废物进行预处理，稳定后贮存，否则按易爆、易燃危险品贮存。</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（3）泄漏物处置</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在巡逻人员或者中控室发现危废间发生了危险废物泄露时，工作人员应立即上报应急办，由应急办人员立即组装抢修抢险人员佩戴好防护服、防毒面罩等，对泄漏的物料进行收集，防止二次事故的发生。</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①若是</w:t>
            </w:r>
            <w:r>
              <w:rPr>
                <w:rFonts w:hint="eastAsia" w:ascii="宋体" w:hAnsi="宋体" w:eastAsia="宋体" w:cs="宋体"/>
                <w:color w:val="auto"/>
                <w:sz w:val="21"/>
                <w:szCs w:val="21"/>
                <w:lang w:val="en-US" w:eastAsia="zh-CN"/>
              </w:rPr>
              <w:t>清釜残渣</w:t>
            </w:r>
            <w:r>
              <w:rPr>
                <w:rFonts w:hint="eastAsia" w:ascii="宋体" w:hAnsi="宋体" w:eastAsia="宋体" w:cs="宋体"/>
                <w:color w:val="auto"/>
                <w:sz w:val="21"/>
                <w:szCs w:val="21"/>
              </w:rPr>
              <w:t>发生少量泄露，抢修人员采用沙土覆盖，将</w:t>
            </w:r>
            <w:r>
              <w:rPr>
                <w:rFonts w:hint="eastAsia" w:ascii="宋体" w:hAnsi="宋体" w:eastAsia="宋体" w:cs="宋体"/>
                <w:color w:val="auto"/>
                <w:sz w:val="21"/>
                <w:szCs w:val="21"/>
                <w:lang w:val="en-US" w:eastAsia="zh-CN"/>
              </w:rPr>
              <w:t>清釜残渣</w:t>
            </w:r>
            <w:r>
              <w:rPr>
                <w:rFonts w:hint="eastAsia" w:ascii="宋体" w:hAnsi="宋体" w:eastAsia="宋体" w:cs="宋体"/>
                <w:color w:val="auto"/>
                <w:sz w:val="21"/>
                <w:szCs w:val="21"/>
              </w:rPr>
              <w:t>吸收至沙土中，将沙土作为危废暂存，交由有资质单位处置。若废液发生大量泄露后，泄漏的液体通过危废间的导流槽流入到收集槽，收集槽的废液通过吸收泵和吸管等其他吸收器皿对废液进行重新收集到吨桶内，废液密封暂存后委托有资质的单位进行处理。无法收集处理的废液经过大量的自来水冲洗以及对危废间的导流槽进行大量的水冲洗，冲洗后的废水通过吸收泵和吸管等其他吸收器皿收集，收集后的废水通过闲置的废桶放入事故应急池暂存处理。</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②若是污泥发生泄露的情况下，抢修抢险人员对散落的污泥进行收集处理。若是污泥发生泄露，抢修抢险人员通过专用的扫把对散落的污泥进行清扫处理，清扫后对泄漏地面进行大量的水进行冲洗，冲洗废水通过危废间道路槽流入到收集槽，工作人员通过吸收泵对废水进行收集。收集后的废水通过闲置的废桶放入事故应急池暂存处理。</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③若是其他物料发生泄漏，立即组织抢修抢险人员佩戴好防护服、防毒面罩等，对泄漏的物料进行收集，收集后分类密闭存放处理。</w:t>
            </w:r>
          </w:p>
          <w:p>
            <w:pPr>
              <w:adjustRightInd w:val="0"/>
              <w:snapToGrid w:val="0"/>
              <w:spacing w:line="360" w:lineRule="auto"/>
              <w:ind w:firstLine="485"/>
              <w:rPr>
                <w:rFonts w:hint="eastAsia" w:ascii="宋体" w:hAnsi="宋体" w:eastAsia="宋体" w:cs="宋体"/>
                <w:color w:val="auto"/>
                <w:sz w:val="21"/>
                <w:szCs w:val="21"/>
              </w:rPr>
            </w:pPr>
            <w:r>
              <w:rPr>
                <w:rFonts w:hint="eastAsia" w:ascii="宋体" w:hAnsi="宋体" w:eastAsia="宋体" w:cs="宋体"/>
                <w:color w:val="auto"/>
                <w:sz w:val="21"/>
                <w:szCs w:val="21"/>
              </w:rPr>
              <w:t>综上所述，泄漏被控制后，要及时将现场泄漏物进行收容、稀释、处理使泄漏物得到安全可靠的处置，防止二次事故的发生。</w:t>
            </w:r>
          </w:p>
          <w:p>
            <w:pPr>
              <w:pStyle w:val="2"/>
              <w:adjustRightInd w:val="0"/>
              <w:snapToGrid w:val="0"/>
              <w:spacing w:before="0" w:after="0" w:line="360" w:lineRule="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五、</w:t>
            </w:r>
            <w:r>
              <w:rPr>
                <w:rFonts w:hint="eastAsia" w:ascii="宋体" w:hAnsi="宋体" w:eastAsia="宋体" w:cs="宋体"/>
                <w:color w:val="auto"/>
                <w:kern w:val="0"/>
                <w:sz w:val="21"/>
                <w:szCs w:val="21"/>
              </w:rPr>
              <w:t>信息报告</w:t>
            </w:r>
          </w:p>
          <w:p>
            <w:pPr>
              <w:adjustRightInd w:val="0"/>
              <w:snapToGrid w:val="0"/>
              <w:spacing w:line="360" w:lineRule="auto"/>
              <w:ind w:firstLine="485"/>
              <w:rPr>
                <w:rFonts w:hint="eastAsia" w:ascii="宋体" w:hAnsi="宋体" w:eastAsia="宋体" w:cs="宋体"/>
                <w:b w:val="0"/>
                <w:bCs w:val="0"/>
                <w:color w:val="auto"/>
                <w:sz w:val="21"/>
                <w:szCs w:val="21"/>
              </w:rPr>
            </w:pPr>
            <w:r>
              <w:rPr>
                <w:rFonts w:hint="eastAsia" w:ascii="宋体" w:hAnsi="宋体" w:eastAsia="宋体" w:cs="宋体"/>
                <w:color w:val="auto"/>
                <w:sz w:val="21"/>
                <w:szCs w:val="21"/>
              </w:rPr>
              <w:t>（1）初报：事故发生后，通过电话向</w:t>
            </w:r>
            <w:r>
              <w:rPr>
                <w:rFonts w:hint="eastAsia" w:ascii="宋体" w:hAnsi="宋体" w:eastAsia="宋体" w:cs="宋体"/>
                <w:color w:val="auto"/>
                <w:sz w:val="21"/>
                <w:szCs w:val="21"/>
                <w:lang w:eastAsia="zh-CN"/>
              </w:rPr>
              <w:t>徐州工业园区管委会</w:t>
            </w:r>
            <w:r>
              <w:rPr>
                <w:rFonts w:hint="eastAsia" w:ascii="宋体" w:hAnsi="宋体" w:eastAsia="宋体" w:cs="宋体"/>
                <w:color w:val="auto"/>
                <w:sz w:val="21"/>
                <w:szCs w:val="21"/>
              </w:rPr>
              <w:t>、徐州市贾汪生态环境局（</w:t>
            </w:r>
            <w:r>
              <w:rPr>
                <w:rFonts w:hint="eastAsia" w:ascii="宋体" w:hAnsi="宋体" w:eastAsia="宋体" w:cs="宋体"/>
                <w:color w:val="auto"/>
                <w:kern w:val="0"/>
                <w:sz w:val="21"/>
                <w:szCs w:val="21"/>
              </w:rPr>
              <w:t>82358653</w:t>
            </w:r>
            <w:r>
              <w:rPr>
                <w:rFonts w:hint="eastAsia" w:ascii="宋体" w:hAnsi="宋体" w:eastAsia="宋体" w:cs="宋体"/>
                <w:color w:val="auto"/>
                <w:sz w:val="21"/>
                <w:szCs w:val="21"/>
              </w:rPr>
              <w:t>）汇报，发生的事故。汇报的主要内容见表</w:t>
            </w:r>
            <w:r>
              <w:rPr>
                <w:rFonts w:hint="eastAsia" w:ascii="宋体" w:hAnsi="宋体" w:eastAsia="宋体" w:cs="宋体"/>
                <w:b w:val="0"/>
                <w:bCs w:val="0"/>
                <w:color w:val="auto"/>
                <w:sz w:val="21"/>
                <w:szCs w:val="21"/>
                <w:lang w:val="en-US" w:eastAsia="zh-CN"/>
              </w:rPr>
              <w:t>7</w:t>
            </w:r>
            <w:r>
              <w:rPr>
                <w:rFonts w:hint="eastAsia" w:ascii="宋体" w:hAnsi="宋体" w:eastAsia="宋体" w:cs="宋体"/>
                <w:b w:val="0"/>
                <w:bCs w:val="0"/>
                <w:color w:val="auto"/>
                <w:sz w:val="21"/>
                <w:szCs w:val="21"/>
              </w:rPr>
              <w:t>。</w:t>
            </w:r>
          </w:p>
          <w:p>
            <w:pPr>
              <w:pStyle w:val="6"/>
              <w:spacing w:line="240" w:lineRule="auto"/>
              <w:ind w:firstLine="482"/>
              <w:jc w:val="center"/>
              <w:rPr>
                <w:rFonts w:hint="eastAsia" w:ascii="宋体" w:hAnsi="宋体" w:eastAsia="宋体" w:cs="宋体"/>
                <w:b w:val="0"/>
                <w:bCs w:val="0"/>
                <w:kern w:val="1"/>
                <w:sz w:val="21"/>
                <w:szCs w:val="21"/>
              </w:rPr>
            </w:pPr>
            <w:r>
              <w:rPr>
                <w:rFonts w:hint="eastAsia" w:ascii="宋体" w:hAnsi="宋体" w:eastAsia="宋体" w:cs="宋体"/>
                <w:b w:val="0"/>
                <w:bCs w:val="0"/>
                <w:kern w:val="1"/>
                <w:sz w:val="21"/>
                <w:szCs w:val="21"/>
              </w:rPr>
              <w:t>表</w:t>
            </w:r>
            <w:r>
              <w:rPr>
                <w:rFonts w:hint="eastAsia" w:ascii="宋体" w:hAnsi="宋体" w:eastAsia="宋体" w:cs="宋体"/>
                <w:b w:val="0"/>
                <w:bCs w:val="0"/>
                <w:kern w:val="1"/>
                <w:sz w:val="21"/>
                <w:szCs w:val="21"/>
                <w:lang w:val="en-US" w:eastAsia="zh-CN"/>
              </w:rPr>
              <w:t>7</w:t>
            </w:r>
            <w:r>
              <w:rPr>
                <w:rFonts w:hint="eastAsia" w:ascii="宋体" w:hAnsi="宋体" w:eastAsia="宋体" w:cs="宋体"/>
                <w:b w:val="0"/>
                <w:bCs w:val="0"/>
                <w:kern w:val="1"/>
                <w:sz w:val="21"/>
                <w:szCs w:val="21"/>
              </w:rPr>
              <w:t xml:space="preserve"> 火灾爆炸事故的初报内容</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9"/>
              <w:gridCol w:w="6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初报内容</w:t>
                  </w:r>
                </w:p>
              </w:tc>
              <w:tc>
                <w:tcPr>
                  <w:tcW w:w="3533"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企业名称</w:t>
                  </w:r>
                </w:p>
              </w:tc>
              <w:tc>
                <w:tcPr>
                  <w:tcW w:w="3533"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徐州永利精细化工有限公司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正门经纬度</w:t>
                  </w:r>
                </w:p>
              </w:tc>
              <w:tc>
                <w:tcPr>
                  <w:tcW w:w="3533"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E</w:t>
                  </w:r>
                  <w:r>
                    <w:rPr>
                      <w:rFonts w:hint="eastAsia" w:ascii="宋体" w:hAnsi="宋体" w:eastAsia="宋体" w:cs="宋体"/>
                      <w:b w:val="0"/>
                      <w:bCs w:val="0"/>
                      <w:snapToGrid w:val="0"/>
                      <w:sz w:val="21"/>
                      <w:szCs w:val="21"/>
                    </w:rPr>
                    <w:t>117.429212</w:t>
                  </w:r>
                  <w:r>
                    <w:rPr>
                      <w:rFonts w:hint="eastAsia" w:ascii="宋体" w:hAnsi="宋体" w:eastAsia="宋体" w:cs="宋体"/>
                      <w:b w:val="0"/>
                      <w:bCs w:val="0"/>
                      <w:sz w:val="21"/>
                      <w:szCs w:val="21"/>
                    </w:rPr>
                    <w:t>°，N</w:t>
                  </w:r>
                  <w:r>
                    <w:rPr>
                      <w:rFonts w:hint="eastAsia" w:ascii="宋体" w:hAnsi="宋体" w:eastAsia="宋体" w:cs="宋体"/>
                      <w:b w:val="0"/>
                      <w:bCs w:val="0"/>
                      <w:spacing w:val="-4"/>
                      <w:sz w:val="21"/>
                      <w:szCs w:val="21"/>
                    </w:rPr>
                    <w:t>34.406707</w:t>
                  </w:r>
                  <w:r>
                    <w:rPr>
                      <w:rFonts w:hint="eastAsia" w:ascii="宋体" w:hAnsi="宋体" w:eastAsia="宋体" w:cs="宋体"/>
                      <w:b w:val="0"/>
                      <w:bCs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地理位置</w:t>
                  </w:r>
                </w:p>
              </w:tc>
              <w:tc>
                <w:tcPr>
                  <w:tcW w:w="3533"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徐州市江苏徐州工业园区中经五路西侧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环境事件类型*</w:t>
                  </w:r>
                </w:p>
              </w:tc>
              <w:tc>
                <w:tcPr>
                  <w:tcW w:w="3533"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发生时间*</w:t>
                  </w:r>
                </w:p>
              </w:tc>
              <w:tc>
                <w:tcPr>
                  <w:tcW w:w="3533"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××××年××月××日，××时××分××秒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地点*</w:t>
                  </w:r>
                </w:p>
              </w:tc>
              <w:tc>
                <w:tcPr>
                  <w:tcW w:w="3533"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××储罐或××车间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7"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污染源*</w:t>
                  </w:r>
                </w:p>
              </w:tc>
              <w:tc>
                <w:tcPr>
                  <w:tcW w:w="3533"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储罐爆炸、燃烧产生的浓烟，消防灭火过程产生的消防尾水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7"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主要污染物*</w:t>
                  </w:r>
                </w:p>
              </w:tc>
              <w:tc>
                <w:tcPr>
                  <w:tcW w:w="3533" w:type="pct"/>
                  <w:tcBorders>
                    <w:tl2br w:val="nil"/>
                    <w:tr2bl w:val="nil"/>
                  </w:tcBorders>
                  <w:noWrap w:val="0"/>
                  <w:vAlign w:val="center"/>
                </w:tcPr>
                <w:p>
                  <w:pPr>
                    <w:pStyle w:val="6"/>
                    <w:adjustRightInd w:val="0"/>
                    <w:snapToGrid w:val="0"/>
                    <w:spacing w:line="240" w:lineRule="auto"/>
                    <w:ind w:firstLine="0" w:firstLineChars="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大气污染物：CO、SO</w:t>
                  </w:r>
                  <w:r>
                    <w:rPr>
                      <w:rFonts w:hint="eastAsia" w:ascii="宋体" w:hAnsi="宋体" w:eastAsia="宋体" w:cs="宋体"/>
                      <w:b w:val="0"/>
                      <w:bCs w:val="0"/>
                      <w:sz w:val="21"/>
                      <w:szCs w:val="21"/>
                      <w:vertAlign w:val="subscript"/>
                    </w:rPr>
                    <w:t>2</w:t>
                  </w:r>
                  <w:r>
                    <w:rPr>
                      <w:rFonts w:hint="eastAsia" w:ascii="宋体" w:hAnsi="宋体" w:eastAsia="宋体" w:cs="宋体"/>
                      <w:b w:val="0"/>
                      <w:bCs w:val="0"/>
                      <w:sz w:val="21"/>
                      <w:szCs w:val="21"/>
                    </w:rPr>
                    <w:t xml:space="preserve">、NOx、烟尘；地表水污染物：COD、SS </w:t>
                  </w:r>
                </w:p>
              </w:tc>
            </w:tr>
          </w:tbl>
          <w:p>
            <w:pPr>
              <w:adjustRightInd w:val="0"/>
              <w:snapToGrid w:val="0"/>
              <w:spacing w:line="360" w:lineRule="auto"/>
              <w:ind w:firstLine="485"/>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注：标注“*”的项目根据实际情况进行填写。</w:t>
            </w:r>
          </w:p>
          <w:p>
            <w:pPr>
              <w:numPr>
                <w:ilvl w:val="0"/>
                <w:numId w:val="4"/>
              </w:numPr>
              <w:adjustRightInd w:val="0"/>
              <w:snapToGrid w:val="0"/>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续报：续报以书面报告，根据突发环境事件进展情况可一次或多次报告。在初报的基础上报告有关确切数据，事件发生的原因、过程、进展情况及采取的应急措施等基本情况。当突发环境事件已经或可能对外环境造成影响时，公司应急总指挥应立即上报徐州市贾汪生态环境局，紧急情况下，可以越级上报至徐州市</w:t>
            </w:r>
            <w:r>
              <w:rPr>
                <w:rFonts w:hint="eastAsia" w:ascii="宋体" w:hAnsi="宋体" w:eastAsia="宋体" w:cs="宋体"/>
                <w:color w:val="auto"/>
                <w:kern w:val="2"/>
                <w:sz w:val="21"/>
                <w:szCs w:val="21"/>
              </w:rPr>
              <w:t>生态环境局</w:t>
            </w:r>
            <w:r>
              <w:rPr>
                <w:rFonts w:hint="eastAsia" w:ascii="宋体" w:hAnsi="宋体" w:eastAsia="宋体" w:cs="宋体"/>
                <w:color w:val="auto"/>
                <w:sz w:val="21"/>
                <w:szCs w:val="21"/>
              </w:rPr>
              <w:t>和贾汪区人民政府。在后续的应急救援过程中，随时上报救援的进展情况。</w:t>
            </w:r>
          </w:p>
        </w:tc>
      </w:tr>
    </w:tbl>
    <w:p>
      <w:pPr>
        <w:rPr>
          <w:rFonts w:hint="eastAsia" w:eastAsiaTheme="minorEastAsia"/>
          <w:lang w:eastAsia="zh-CN"/>
        </w:rPr>
      </w:pPr>
      <w:r>
        <w:rPr>
          <w:rFonts w:hint="eastAsia" w:eastAsiaTheme="minorEastAsia"/>
          <w:lang w:eastAsia="zh-CN"/>
        </w:rPr>
        <w:drawing>
          <wp:inline distT="0" distB="0" distL="114300" distR="114300">
            <wp:extent cx="6922770" cy="9222740"/>
            <wp:effectExtent l="0" t="0" r="11430" b="16510"/>
            <wp:docPr id="4" name="图片 4" descr="e0fa04a9ef6cad255f564dba17c4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fa04a9ef6cad255f564dba17c4cc3"/>
                    <pic:cNvPicPr>
                      <a:picLocks noChangeAspect="1"/>
                    </pic:cNvPicPr>
                  </pic:nvPicPr>
                  <pic:blipFill>
                    <a:blip r:embed="rId4"/>
                    <a:stretch>
                      <a:fillRect/>
                    </a:stretch>
                  </pic:blipFill>
                  <pic:spPr>
                    <a:xfrm>
                      <a:off x="0" y="0"/>
                      <a:ext cx="6922770" cy="922274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82360" cy="8820785"/>
            <wp:effectExtent l="0" t="0" r="8890" b="18415"/>
            <wp:docPr id="8" name="图片 8" descr="微信图片_2023081416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814162013"/>
                    <pic:cNvPicPr>
                      <a:picLocks noChangeAspect="1"/>
                    </pic:cNvPicPr>
                  </pic:nvPicPr>
                  <pic:blipFill>
                    <a:blip r:embed="rId5"/>
                    <a:stretch>
                      <a:fillRect/>
                    </a:stretch>
                  </pic:blipFill>
                  <pic:spPr>
                    <a:xfrm>
                      <a:off x="0" y="0"/>
                      <a:ext cx="6182360" cy="8820785"/>
                    </a:xfrm>
                    <a:prstGeom prst="rect">
                      <a:avLst/>
                    </a:prstGeom>
                  </pic:spPr>
                </pic:pic>
              </a:graphicData>
            </a:graphic>
          </wp:inline>
        </w:drawing>
      </w:r>
      <w:r>
        <w:rPr>
          <w:rFonts w:hint="eastAsia" w:eastAsiaTheme="minorEastAsia"/>
          <w:lang w:eastAsia="zh-CN"/>
        </w:rPr>
        <w:drawing>
          <wp:inline distT="0" distB="0" distL="114300" distR="114300">
            <wp:extent cx="6182360" cy="8820785"/>
            <wp:effectExtent l="0" t="0" r="8890" b="18415"/>
            <wp:docPr id="9" name="图片 9" descr="微信图片_2023081416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814162002"/>
                    <pic:cNvPicPr>
                      <a:picLocks noChangeAspect="1"/>
                    </pic:cNvPicPr>
                  </pic:nvPicPr>
                  <pic:blipFill>
                    <a:blip r:embed="rId6"/>
                    <a:stretch>
                      <a:fillRect/>
                    </a:stretch>
                  </pic:blipFill>
                  <pic:spPr>
                    <a:xfrm>
                      <a:off x="0" y="0"/>
                      <a:ext cx="6182360" cy="8820785"/>
                    </a:xfrm>
                    <a:prstGeom prst="rect">
                      <a:avLst/>
                    </a:prstGeom>
                  </pic:spPr>
                </pic:pic>
              </a:graphicData>
            </a:graphic>
          </wp:inline>
        </w:drawing>
      </w:r>
      <w:r>
        <w:rPr>
          <w:rFonts w:hint="eastAsia" w:eastAsiaTheme="minorEastAsia"/>
          <w:lang w:eastAsia="zh-CN"/>
        </w:rPr>
        <w:drawing>
          <wp:inline distT="0" distB="0" distL="114300" distR="114300">
            <wp:extent cx="6182360" cy="8820785"/>
            <wp:effectExtent l="0" t="0" r="8890" b="18415"/>
            <wp:docPr id="10" name="图片 10" descr="微信图片_2023081416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814162008"/>
                    <pic:cNvPicPr>
                      <a:picLocks noChangeAspect="1"/>
                    </pic:cNvPicPr>
                  </pic:nvPicPr>
                  <pic:blipFill>
                    <a:blip r:embed="rId7"/>
                    <a:stretch>
                      <a:fillRect/>
                    </a:stretch>
                  </pic:blipFill>
                  <pic:spPr>
                    <a:xfrm>
                      <a:off x="0" y="0"/>
                      <a:ext cx="6182360" cy="882078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174740" cy="4348480"/>
            <wp:effectExtent l="0" t="0" r="16510" b="13970"/>
            <wp:docPr id="1" name="图片 1" descr="微信图片_202308011653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801165322_2"/>
                    <pic:cNvPicPr>
                      <a:picLocks noChangeAspect="1"/>
                    </pic:cNvPicPr>
                  </pic:nvPicPr>
                  <pic:blipFill>
                    <a:blip r:embed="rId8"/>
                    <a:stretch>
                      <a:fillRect/>
                    </a:stretch>
                  </pic:blipFill>
                  <pic:spPr>
                    <a:xfrm>
                      <a:off x="0" y="0"/>
                      <a:ext cx="6174740" cy="4348480"/>
                    </a:xfrm>
                    <a:prstGeom prst="rect">
                      <a:avLst/>
                    </a:prstGeom>
                  </pic:spPr>
                </pic:pic>
              </a:graphicData>
            </a:graphic>
          </wp:inline>
        </w:drawing>
      </w:r>
      <w:r>
        <w:rPr>
          <w:rFonts w:hint="eastAsia" w:eastAsiaTheme="minorEastAsia"/>
          <w:lang w:eastAsia="zh-CN"/>
        </w:rPr>
        <w:drawing>
          <wp:inline distT="0" distB="0" distL="114300" distR="114300">
            <wp:extent cx="6174740" cy="4199890"/>
            <wp:effectExtent l="0" t="0" r="16510" b="10160"/>
            <wp:docPr id="2" name="图片 2" descr="微信图片_2023080116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801165322"/>
                    <pic:cNvPicPr>
                      <a:picLocks noChangeAspect="1"/>
                    </pic:cNvPicPr>
                  </pic:nvPicPr>
                  <pic:blipFill>
                    <a:blip r:embed="rId9"/>
                    <a:stretch>
                      <a:fillRect/>
                    </a:stretch>
                  </pic:blipFill>
                  <pic:spPr>
                    <a:xfrm>
                      <a:off x="0" y="0"/>
                      <a:ext cx="6174740" cy="4199890"/>
                    </a:xfrm>
                    <a:prstGeom prst="rect">
                      <a:avLst/>
                    </a:prstGeom>
                  </pic:spPr>
                </pic:pic>
              </a:graphicData>
            </a:graphic>
          </wp:inline>
        </w:drawing>
      </w:r>
      <w:r>
        <w:rPr>
          <w:rFonts w:hint="eastAsia" w:eastAsiaTheme="minorEastAsia"/>
          <w:lang w:eastAsia="zh-CN"/>
        </w:rPr>
        <w:drawing>
          <wp:inline distT="0" distB="0" distL="114300" distR="114300">
            <wp:extent cx="6174740" cy="4506595"/>
            <wp:effectExtent l="0" t="0" r="16510" b="8255"/>
            <wp:docPr id="5" name="图片 5" descr="微信图片_2023080117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801172820"/>
                    <pic:cNvPicPr>
                      <a:picLocks noChangeAspect="1"/>
                    </pic:cNvPicPr>
                  </pic:nvPicPr>
                  <pic:blipFill>
                    <a:blip r:embed="rId10"/>
                    <a:stretch>
                      <a:fillRect/>
                    </a:stretch>
                  </pic:blipFill>
                  <pic:spPr>
                    <a:xfrm>
                      <a:off x="0" y="0"/>
                      <a:ext cx="6174740" cy="4506595"/>
                    </a:xfrm>
                    <a:prstGeom prst="rect">
                      <a:avLst/>
                    </a:prstGeom>
                  </pic:spPr>
                </pic:pic>
              </a:graphicData>
            </a:graphic>
          </wp:inline>
        </w:drawing>
      </w:r>
      <w:r>
        <w:rPr>
          <w:rFonts w:hint="eastAsia" w:eastAsiaTheme="minorEastAsia"/>
          <w:lang w:eastAsia="zh-CN"/>
        </w:rPr>
        <w:drawing>
          <wp:inline distT="0" distB="0" distL="114300" distR="114300">
            <wp:extent cx="6181090" cy="4214495"/>
            <wp:effectExtent l="0" t="0" r="10160" b="14605"/>
            <wp:docPr id="6" name="图片 6" descr="微信图片_2023080117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801172813"/>
                    <pic:cNvPicPr>
                      <a:picLocks noChangeAspect="1"/>
                    </pic:cNvPicPr>
                  </pic:nvPicPr>
                  <pic:blipFill>
                    <a:blip r:embed="rId11"/>
                    <a:stretch>
                      <a:fillRect/>
                    </a:stretch>
                  </pic:blipFill>
                  <pic:spPr>
                    <a:xfrm>
                      <a:off x="0" y="0"/>
                      <a:ext cx="6181090" cy="4214495"/>
                    </a:xfrm>
                    <a:prstGeom prst="rect">
                      <a:avLst/>
                    </a:prstGeom>
                  </pic:spPr>
                </pic:pic>
              </a:graphicData>
            </a:graphic>
          </wp:inline>
        </w:drawing>
      </w:r>
      <w:r>
        <w:rPr>
          <w:rFonts w:hint="eastAsia" w:eastAsiaTheme="minorEastAsia"/>
          <w:lang w:eastAsia="zh-CN"/>
        </w:rPr>
        <w:drawing>
          <wp:inline distT="0" distB="0" distL="114300" distR="114300">
            <wp:extent cx="6144895" cy="4387215"/>
            <wp:effectExtent l="0" t="0" r="8255" b="13335"/>
            <wp:docPr id="3" name="图片 3" descr="微信图片_2023080408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804081455"/>
                    <pic:cNvPicPr>
                      <a:picLocks noChangeAspect="1"/>
                    </pic:cNvPicPr>
                  </pic:nvPicPr>
                  <pic:blipFill>
                    <a:blip r:embed="rId12"/>
                    <a:stretch>
                      <a:fillRect/>
                    </a:stretch>
                  </pic:blipFill>
                  <pic:spPr>
                    <a:xfrm>
                      <a:off x="0" y="0"/>
                      <a:ext cx="6144895" cy="4387215"/>
                    </a:xfrm>
                    <a:prstGeom prst="rect">
                      <a:avLst/>
                    </a:prstGeom>
                  </pic:spPr>
                </pic:pic>
              </a:graphicData>
            </a:graphic>
          </wp:inline>
        </w:drawing>
      </w:r>
      <w:r>
        <w:rPr>
          <w:rFonts w:hint="eastAsia" w:eastAsiaTheme="minorEastAsia"/>
          <w:lang w:eastAsia="zh-CN"/>
        </w:rPr>
        <w:drawing>
          <wp:inline distT="0" distB="0" distL="114300" distR="114300">
            <wp:extent cx="6144895" cy="4154805"/>
            <wp:effectExtent l="0" t="0" r="8255" b="17145"/>
            <wp:docPr id="7" name="图片 7" descr="微信图片_2023080408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804081456"/>
                    <pic:cNvPicPr>
                      <a:picLocks noChangeAspect="1"/>
                    </pic:cNvPicPr>
                  </pic:nvPicPr>
                  <pic:blipFill>
                    <a:blip r:embed="rId13"/>
                    <a:stretch>
                      <a:fillRect/>
                    </a:stretch>
                  </pic:blipFill>
                  <pic:spPr>
                    <a:xfrm>
                      <a:off x="0" y="0"/>
                      <a:ext cx="6144895" cy="4154805"/>
                    </a:xfrm>
                    <a:prstGeom prst="rect">
                      <a:avLst/>
                    </a:prstGeom>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9FF255"/>
    <w:multiLevelType w:val="singleLevel"/>
    <w:tmpl w:val="E29FF255"/>
    <w:lvl w:ilvl="0" w:tentative="0">
      <w:start w:val="2"/>
      <w:numFmt w:val="decimal"/>
      <w:suff w:val="nothing"/>
      <w:lvlText w:val="%1、"/>
      <w:lvlJc w:val="left"/>
    </w:lvl>
  </w:abstractNum>
  <w:abstractNum w:abstractNumId="1">
    <w:nsid w:val="48300E2A"/>
    <w:multiLevelType w:val="multilevel"/>
    <w:tmpl w:val="48300E2A"/>
    <w:lvl w:ilvl="0" w:tentative="0">
      <w:start w:val="1"/>
      <w:numFmt w:val="bullet"/>
      <w:lvlText w:val=""/>
      <w:lvlJc w:val="left"/>
      <w:pPr>
        <w:tabs>
          <w:tab w:val="left" w:pos="480"/>
        </w:tabs>
        <w:ind w:left="480" w:firstLine="0"/>
      </w:pPr>
      <w:rPr>
        <w:rFonts w:hint="default" w:ascii="Wingdings" w:hAnsi="Wingdings"/>
      </w:rPr>
    </w:lvl>
    <w:lvl w:ilvl="1" w:tentative="0">
      <w:start w:val="1"/>
      <w:numFmt w:val="bullet"/>
      <w:pStyle w:val="3"/>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57D925F9"/>
    <w:multiLevelType w:val="singleLevel"/>
    <w:tmpl w:val="57D925F9"/>
    <w:lvl w:ilvl="0" w:tentative="0">
      <w:start w:val="2"/>
      <w:numFmt w:val="decimal"/>
      <w:suff w:val="nothing"/>
      <w:lvlText w:val="（%1）"/>
      <w:lvlJc w:val="left"/>
    </w:lvl>
  </w:abstractNum>
  <w:abstractNum w:abstractNumId="3">
    <w:nsid w:val="71600BAA"/>
    <w:multiLevelType w:val="singleLevel"/>
    <w:tmpl w:val="71600BAA"/>
    <w:lvl w:ilvl="0" w:tentative="0">
      <w:start w:val="4"/>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2ZDc5ZmFmMWZiZjVlZWY2Y2JhNjhlMDM3NTZiNTAifQ=="/>
  </w:docVars>
  <w:rsids>
    <w:rsidRoot w:val="00000000"/>
    <w:rsid w:val="083802C9"/>
    <w:rsid w:val="0B6C589D"/>
    <w:rsid w:val="10D37D28"/>
    <w:rsid w:val="16F54663"/>
    <w:rsid w:val="19167869"/>
    <w:rsid w:val="1B1E411D"/>
    <w:rsid w:val="25EC2437"/>
    <w:rsid w:val="28455841"/>
    <w:rsid w:val="298011DE"/>
    <w:rsid w:val="2FEF6701"/>
    <w:rsid w:val="349211E0"/>
    <w:rsid w:val="37342407"/>
    <w:rsid w:val="39B239C5"/>
    <w:rsid w:val="3D8F0C05"/>
    <w:rsid w:val="3EA50E8D"/>
    <w:rsid w:val="409B6FEB"/>
    <w:rsid w:val="46A80AF2"/>
    <w:rsid w:val="49240DD0"/>
    <w:rsid w:val="4CAD023D"/>
    <w:rsid w:val="4F7B73FB"/>
    <w:rsid w:val="560501F2"/>
    <w:rsid w:val="5BCB77E7"/>
    <w:rsid w:val="67ED29B0"/>
    <w:rsid w:val="695F7B59"/>
    <w:rsid w:val="6CD10095"/>
    <w:rsid w:val="6FF17C6B"/>
    <w:rsid w:val="70F4720B"/>
    <w:rsid w:val="720B51EE"/>
    <w:rsid w:val="75D21A46"/>
    <w:rsid w:val="7A8B6101"/>
    <w:rsid w:val="7C662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sz w:val="44"/>
      <w:szCs w:val="44"/>
    </w:rPr>
  </w:style>
  <w:style w:type="paragraph" w:styleId="3">
    <w:name w:val="heading 2"/>
    <w:basedOn w:val="1"/>
    <w:next w:val="1"/>
    <w:qFormat/>
    <w:uiPriority w:val="0"/>
    <w:pPr>
      <w:keepNext/>
      <w:numPr>
        <w:ilvl w:val="1"/>
        <w:numId w:val="1"/>
      </w:numPr>
      <w:outlineLvl w:val="1"/>
    </w:pPr>
    <w:rPr>
      <w:rFonts w:ascii="宋体" w:hAnsi="宋体"/>
      <w:color w:val="000000"/>
      <w:kern w:val="0"/>
      <w:sz w:val="28"/>
      <w:szCs w:val="20"/>
    </w:rPr>
  </w:style>
  <w:style w:type="paragraph" w:styleId="4">
    <w:name w:val="heading 3"/>
    <w:basedOn w:val="1"/>
    <w:next w:val="1"/>
    <w:qFormat/>
    <w:uiPriority w:val="0"/>
    <w:pPr>
      <w:keepNext/>
      <w:keepLines/>
      <w:spacing w:before="0" w:beforeLines="0" w:beforeAutospacing="0" w:after="0" w:afterLines="0" w:afterAutospacing="0" w:line="360" w:lineRule="auto"/>
      <w:ind w:firstLine="0" w:firstLineChars="0"/>
      <w:outlineLvl w:val="2"/>
    </w:pPr>
    <w:rPr>
      <w:b/>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Body Text"/>
    <w:basedOn w:val="1"/>
    <w:next w:val="1"/>
    <w:unhideWhenUsed/>
    <w:qFormat/>
    <w:uiPriority w:val="99"/>
    <w:pPr>
      <w:spacing w:after="120"/>
    </w:pPr>
  </w:style>
  <w:style w:type="paragraph" w:styleId="6">
    <w:name w:val="index heading"/>
    <w:basedOn w:val="1"/>
    <w:next w:val="7"/>
    <w:qFormat/>
    <w:uiPriority w:val="0"/>
    <w:pPr>
      <w:widowControl w:val="0"/>
      <w:jc w:val="both"/>
    </w:pPr>
    <w:rPr>
      <w:rFonts w:ascii="Arial" w:hAnsi="Arial" w:cs="Arial" w:eastAsiaTheme="minorEastAsia"/>
      <w:b/>
      <w:bCs/>
      <w:kern w:val="2"/>
      <w:sz w:val="21"/>
      <w:szCs w:val="24"/>
      <w:lang w:val="en-US" w:eastAsia="zh-CN" w:bidi="ar-SA"/>
    </w:rPr>
  </w:style>
  <w:style w:type="paragraph" w:styleId="7">
    <w:name w:val="index 1"/>
    <w:basedOn w:val="1"/>
    <w:next w:val="1"/>
    <w:unhideWhenUsed/>
    <w:qFormat/>
    <w:uiPriority w:val="99"/>
    <w:pPr>
      <w:widowControl w:val="0"/>
      <w:spacing w:line="360" w:lineRule="auto"/>
      <w:ind w:firstLine="200" w:firstLineChars="200"/>
      <w:jc w:val="center"/>
    </w:pPr>
    <w:rPr>
      <w:rFonts w:ascii="Calibri" w:hAnsi="Calibri" w:eastAsia="Calibri" w:cs="Times New Roman"/>
      <w:kern w:val="2"/>
      <w:sz w:val="24"/>
      <w:szCs w:val="20"/>
      <w:lang w:val="en-US" w:eastAsia="zh-CN" w:bidi="ar-SA"/>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表格题目"/>
    <w:qFormat/>
    <w:uiPriority w:val="0"/>
    <w:pPr>
      <w:spacing w:line="500" w:lineRule="exact"/>
      <w:ind w:firstLine="0" w:firstLineChars="0"/>
      <w:jc w:val="center"/>
    </w:pPr>
    <w:rPr>
      <w:rFonts w:ascii="Times New Roman" w:hAnsi="Times New Roman" w:eastAsia="宋体" w:cs="Times New Roman"/>
      <w:b/>
      <w:bCs/>
      <w:kern w:val="44"/>
      <w:sz w:val="24"/>
      <w:szCs w:val="44"/>
      <w:lang w:val="en-US" w:eastAsia="zh-CN" w:bidi="ar-SA"/>
    </w:rPr>
  </w:style>
  <w:style w:type="table" w:customStyle="1" w:styleId="12">
    <w:name w:val="网格型1"/>
    <w:qFormat/>
    <w:uiPriority w:val="39"/>
    <w:pPr>
      <w:spacing w:line="400" w:lineRule="exact"/>
    </w:pPr>
    <w:rPr>
      <w:rFonts w:ascii="Calibri" w:hAnsi="Calibri"/>
      <w:kern w:val="2"/>
      <w:sz w:val="21"/>
      <w:szCs w:val="22"/>
    </w:rPr>
    <w:tblPr>
      <w:tblBorders>
        <w:top w:val="single" w:color="auto" w:sz="12" w:space="0"/>
        <w:bottom w:val="single" w:color="auto" w:sz="12"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9261</Words>
  <Characters>9662</Characters>
  <Lines>0</Lines>
  <Paragraphs>0</Paragraphs>
  <TotalTime>56</TotalTime>
  <ScaleCrop>false</ScaleCrop>
  <LinksUpToDate>false</LinksUpToDate>
  <CharactersWithSpaces>9856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2022-07-12T09:48:00Z</dcterms:created>
  <dc:creator>Administrator</dc:creator>
  <cp:lastModifiedBy>笑清风</cp:lastModifiedBy>
  <cp:lastPrinted>2023-08-14T08:23:00Z</cp:lastPrinted>
  <dcterms:modified xsi:type="dcterms:W3CDTF">2023-08-28T00:49:13Z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53A54ACB378B4B1FA16BBCB56FA02B7B</vt:lpwstr>
  </property>
</Properties>
</file>